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5304C" w14:textId="77777777" w:rsidR="00ED121E" w:rsidRDefault="00ED121E">
      <w:pPr>
        <w:pStyle w:val="BodyA"/>
        <w:outlineLvl w:val="2"/>
      </w:pPr>
    </w:p>
    <w:p w14:paraId="669DFBAF" w14:textId="77777777" w:rsidR="00FA1872" w:rsidRDefault="00FA1872">
      <w:pPr>
        <w:pStyle w:val="BodyA"/>
        <w:outlineLvl w:val="2"/>
      </w:pPr>
    </w:p>
    <w:p w14:paraId="55CD5B10" w14:textId="77777777" w:rsidR="00FA1872" w:rsidRDefault="00FA1872">
      <w:pPr>
        <w:pStyle w:val="BodyA"/>
        <w:outlineLvl w:val="2"/>
      </w:pPr>
    </w:p>
    <w:p w14:paraId="422B63A2" w14:textId="77777777" w:rsidR="00FA1872" w:rsidRDefault="00FA1872">
      <w:pPr>
        <w:pStyle w:val="BodyA"/>
        <w:outlineLvl w:val="2"/>
      </w:pPr>
    </w:p>
    <w:p w14:paraId="159A0A22" w14:textId="77777777" w:rsidR="00FA1872" w:rsidRDefault="00FA1872">
      <w:pPr>
        <w:pStyle w:val="BodyA"/>
        <w:outlineLvl w:val="2"/>
      </w:pPr>
    </w:p>
    <w:p w14:paraId="51836A61" w14:textId="77777777" w:rsidR="00FA1872" w:rsidRDefault="00FA1872">
      <w:pPr>
        <w:pStyle w:val="BodyA"/>
        <w:outlineLvl w:val="2"/>
      </w:pPr>
    </w:p>
    <w:p w14:paraId="3994F5A3" w14:textId="77777777" w:rsidR="00FA1872" w:rsidRDefault="00FA1872">
      <w:pPr>
        <w:pStyle w:val="BodyA"/>
        <w:outlineLvl w:val="2"/>
      </w:pPr>
    </w:p>
    <w:p w14:paraId="79919769" w14:textId="10396C1C" w:rsidR="00FA1872" w:rsidRPr="00815778" w:rsidRDefault="00815778" w:rsidP="00815778">
      <w:pPr>
        <w:pStyle w:val="BodyText3"/>
        <w:jc w:val="center"/>
        <w:rPr>
          <w:b/>
          <w:bCs/>
          <w:sz w:val="28"/>
          <w:szCs w:val="28"/>
          <w:lang w:val="sr-Latn-RS"/>
        </w:rPr>
      </w:pPr>
      <w:r w:rsidRPr="00815778">
        <w:rPr>
          <w:b/>
          <w:bCs/>
          <w:sz w:val="28"/>
          <w:szCs w:val="28"/>
          <w:lang w:val="sr-Latn-RS"/>
        </w:rPr>
        <w:t>COMPUTATIONAL INTELLIGENCE BASED METHOD FOR EFFICIENT CLASSIFICATION OF</w:t>
      </w:r>
      <w:r>
        <w:rPr>
          <w:b/>
          <w:bCs/>
          <w:sz w:val="28"/>
          <w:szCs w:val="28"/>
          <w:lang w:val="sr-Latn-RS"/>
        </w:rPr>
        <w:t xml:space="preserve"> </w:t>
      </w:r>
      <w:r w:rsidRPr="00815778">
        <w:rPr>
          <w:b/>
          <w:bCs/>
          <w:sz w:val="28"/>
          <w:szCs w:val="28"/>
          <w:lang w:val="sr-Latn-RS"/>
        </w:rPr>
        <w:t>MICROPHONES</w:t>
      </w:r>
    </w:p>
    <w:p w14:paraId="616A91CD" w14:textId="626E0BE7" w:rsidR="00FA1872" w:rsidRDefault="00D2134A">
      <w:pPr>
        <w:pStyle w:val="BodyA"/>
        <w:jc w:val="center"/>
        <w:rPr>
          <w:b/>
          <w:bCs/>
          <w:sz w:val="22"/>
          <w:szCs w:val="22"/>
        </w:rPr>
      </w:pPr>
      <w:proofErr w:type="spellStart"/>
      <w:r>
        <w:rPr>
          <w:b/>
          <w:bCs/>
          <w:sz w:val="22"/>
          <w:szCs w:val="22"/>
        </w:rPr>
        <w:t>Miroslava</w:t>
      </w:r>
      <w:proofErr w:type="spellEnd"/>
      <w:r>
        <w:rPr>
          <w:b/>
          <w:bCs/>
          <w:sz w:val="22"/>
          <w:szCs w:val="22"/>
        </w:rPr>
        <w:t xml:space="preserve"> </w:t>
      </w:r>
      <w:proofErr w:type="spellStart"/>
      <w:r>
        <w:rPr>
          <w:b/>
          <w:bCs/>
          <w:sz w:val="22"/>
          <w:szCs w:val="22"/>
        </w:rPr>
        <w:t>Jordovic</w:t>
      </w:r>
      <w:proofErr w:type="spellEnd"/>
      <w:r>
        <w:rPr>
          <w:b/>
          <w:bCs/>
          <w:sz w:val="22"/>
          <w:szCs w:val="22"/>
        </w:rPr>
        <w:t xml:space="preserve"> Pavlovic</w:t>
      </w:r>
      <w:r>
        <w:rPr>
          <w:b/>
          <w:bCs/>
          <w:sz w:val="22"/>
          <w:szCs w:val="22"/>
          <w:vertAlign w:val="superscript"/>
        </w:rPr>
        <w:t>1</w:t>
      </w:r>
      <w:r>
        <w:rPr>
          <w:b/>
          <w:bCs/>
          <w:sz w:val="22"/>
          <w:szCs w:val="22"/>
        </w:rPr>
        <w:t xml:space="preserve">, </w:t>
      </w:r>
      <w:r w:rsidR="00371DD5">
        <w:rPr>
          <w:b/>
          <w:bCs/>
          <w:sz w:val="22"/>
          <w:szCs w:val="22"/>
        </w:rPr>
        <w:t>PhD</w:t>
      </w:r>
      <w:r>
        <w:rPr>
          <w:b/>
          <w:bCs/>
          <w:sz w:val="22"/>
          <w:szCs w:val="22"/>
        </w:rPr>
        <w:t>; Aleksandar Kupusinac</w:t>
      </w:r>
      <w:r>
        <w:rPr>
          <w:b/>
          <w:bCs/>
          <w:sz w:val="22"/>
          <w:szCs w:val="22"/>
          <w:vertAlign w:val="superscript"/>
        </w:rPr>
        <w:t>2</w:t>
      </w:r>
      <w:r>
        <w:rPr>
          <w:b/>
          <w:bCs/>
          <w:sz w:val="22"/>
          <w:szCs w:val="22"/>
        </w:rPr>
        <w:t>, PhD; Marica Popovic</w:t>
      </w:r>
      <w:r>
        <w:rPr>
          <w:b/>
          <w:bCs/>
          <w:sz w:val="22"/>
          <w:szCs w:val="22"/>
          <w:vertAlign w:val="superscript"/>
        </w:rPr>
        <w:t>3</w:t>
      </w:r>
      <w:r>
        <w:rPr>
          <w:b/>
          <w:bCs/>
          <w:sz w:val="22"/>
          <w:szCs w:val="22"/>
        </w:rPr>
        <w:t xml:space="preserve">, </w:t>
      </w:r>
      <w:proofErr w:type="gramStart"/>
      <w:r>
        <w:rPr>
          <w:b/>
          <w:bCs/>
          <w:sz w:val="22"/>
          <w:szCs w:val="22"/>
        </w:rPr>
        <w:t>PhD</w:t>
      </w:r>
      <w:r w:rsidR="00815778">
        <w:rPr>
          <w:b/>
          <w:bCs/>
          <w:sz w:val="22"/>
          <w:szCs w:val="22"/>
        </w:rPr>
        <w:t>;</w:t>
      </w:r>
      <w:proofErr w:type="gramEnd"/>
    </w:p>
    <w:p w14:paraId="5B978E77" w14:textId="2E6CFE76" w:rsidR="00815778" w:rsidRPr="00815778" w:rsidRDefault="00815778">
      <w:pPr>
        <w:pStyle w:val="BodyA"/>
        <w:jc w:val="center"/>
        <w:rPr>
          <w:b/>
          <w:bCs/>
          <w:sz w:val="22"/>
          <w:szCs w:val="22"/>
          <w:lang w:val="sr-Latn-RS"/>
        </w:rPr>
      </w:pPr>
      <w:r>
        <w:rPr>
          <w:b/>
          <w:bCs/>
          <w:sz w:val="22"/>
          <w:szCs w:val="22"/>
          <w:lang w:val="sr-Latn-RS"/>
        </w:rPr>
        <w:t>Dragan Markushev</w:t>
      </w:r>
      <w:r w:rsidR="008F2F82">
        <w:rPr>
          <w:b/>
          <w:bCs/>
          <w:sz w:val="22"/>
          <w:szCs w:val="22"/>
          <w:vertAlign w:val="superscript"/>
          <w:lang w:val="sr-Latn-RS"/>
        </w:rPr>
        <w:t>4</w:t>
      </w:r>
      <w:r>
        <w:rPr>
          <w:b/>
          <w:bCs/>
          <w:sz w:val="22"/>
          <w:szCs w:val="22"/>
          <w:lang w:val="sr-Latn-RS"/>
        </w:rPr>
        <w:t xml:space="preserve">, </w:t>
      </w:r>
      <w:proofErr w:type="spellStart"/>
      <w:r>
        <w:rPr>
          <w:b/>
          <w:bCs/>
          <w:sz w:val="22"/>
          <w:szCs w:val="22"/>
          <w:lang w:val="sr-Latn-RS"/>
        </w:rPr>
        <w:t>PhD</w:t>
      </w:r>
      <w:proofErr w:type="spellEnd"/>
      <w:r>
        <w:rPr>
          <w:b/>
          <w:bCs/>
          <w:sz w:val="22"/>
          <w:szCs w:val="22"/>
          <w:lang w:val="sr-Latn-RS"/>
        </w:rPr>
        <w:t>;</w:t>
      </w:r>
    </w:p>
    <w:p w14:paraId="2BD8C3C9" w14:textId="77777777" w:rsidR="00815778" w:rsidRDefault="00815778">
      <w:pPr>
        <w:pStyle w:val="BodyA"/>
        <w:jc w:val="center"/>
        <w:rPr>
          <w:b/>
          <w:bCs/>
          <w:sz w:val="22"/>
          <w:szCs w:val="22"/>
        </w:rPr>
      </w:pPr>
    </w:p>
    <w:p w14:paraId="50684CA6" w14:textId="17B15986" w:rsidR="00FA1872" w:rsidRDefault="00D2134A">
      <w:pPr>
        <w:pStyle w:val="BodyA"/>
        <w:jc w:val="center"/>
      </w:pPr>
      <w:r>
        <w:rPr>
          <w:sz w:val="20"/>
          <w:szCs w:val="20"/>
          <w:vertAlign w:val="superscript"/>
        </w:rPr>
        <w:t>1</w:t>
      </w:r>
      <w:r>
        <w:rPr>
          <w:sz w:val="20"/>
          <w:szCs w:val="20"/>
        </w:rPr>
        <w:t xml:space="preserve"> </w:t>
      </w:r>
      <w:r w:rsidR="00815778" w:rsidRPr="00815778">
        <w:rPr>
          <w:sz w:val="20"/>
          <w:szCs w:val="20"/>
        </w:rPr>
        <w:t xml:space="preserve">Western Serbia Academy of Applied Studies, </w:t>
      </w:r>
      <w:proofErr w:type="spellStart"/>
      <w:r w:rsidR="00815778" w:rsidRPr="00815778">
        <w:rPr>
          <w:sz w:val="20"/>
          <w:szCs w:val="20"/>
        </w:rPr>
        <w:t>Užice</w:t>
      </w:r>
      <w:proofErr w:type="spellEnd"/>
      <w:r w:rsidR="00815778" w:rsidRPr="00815778">
        <w:rPr>
          <w:sz w:val="20"/>
          <w:szCs w:val="20"/>
        </w:rPr>
        <w:t>, Serbia</w:t>
      </w:r>
      <w:r w:rsidR="00815778">
        <w:rPr>
          <w:sz w:val="20"/>
          <w:szCs w:val="20"/>
        </w:rPr>
        <w:t>,</w:t>
      </w:r>
      <w:r w:rsidR="00462729">
        <w:rPr>
          <w:sz w:val="20"/>
          <w:szCs w:val="20"/>
        </w:rPr>
        <w:t xml:space="preserve"> </w:t>
      </w:r>
      <w:r>
        <w:rPr>
          <w:sz w:val="20"/>
          <w:szCs w:val="20"/>
        </w:rPr>
        <w:t xml:space="preserve">miroslava.jordovic-pavlovic@vpts.edu.rs </w:t>
      </w:r>
    </w:p>
    <w:p w14:paraId="4C515AB7" w14:textId="77777777" w:rsidR="00FA1872" w:rsidRDefault="00D2134A">
      <w:pPr>
        <w:pStyle w:val="BodyA"/>
        <w:jc w:val="center"/>
        <w:rPr>
          <w:sz w:val="20"/>
          <w:szCs w:val="20"/>
        </w:rPr>
      </w:pPr>
      <w:r>
        <w:rPr>
          <w:sz w:val="20"/>
          <w:szCs w:val="20"/>
          <w:vertAlign w:val="superscript"/>
        </w:rPr>
        <w:t>2</w:t>
      </w:r>
      <w:r>
        <w:rPr>
          <w:sz w:val="20"/>
          <w:szCs w:val="20"/>
        </w:rPr>
        <w:t xml:space="preserve"> </w:t>
      </w:r>
      <w:proofErr w:type="spellStart"/>
      <w:r>
        <w:rPr>
          <w:sz w:val="20"/>
          <w:szCs w:val="20"/>
          <w:lang w:val="sr-Latn-RS"/>
        </w:rPr>
        <w:t>University</w:t>
      </w:r>
      <w:proofErr w:type="spellEnd"/>
      <w:r>
        <w:rPr>
          <w:sz w:val="20"/>
          <w:szCs w:val="20"/>
          <w:lang w:val="sr-Latn-RS"/>
        </w:rPr>
        <w:t xml:space="preserve"> </w:t>
      </w:r>
      <w:proofErr w:type="spellStart"/>
      <w:r>
        <w:rPr>
          <w:sz w:val="20"/>
          <w:szCs w:val="20"/>
          <w:lang w:val="sr-Latn-RS"/>
        </w:rPr>
        <w:t>of</w:t>
      </w:r>
      <w:proofErr w:type="spellEnd"/>
      <w:r>
        <w:rPr>
          <w:sz w:val="20"/>
          <w:szCs w:val="20"/>
          <w:lang w:val="sr-Latn-RS"/>
        </w:rPr>
        <w:t xml:space="preserve"> Novi Sad</w:t>
      </w:r>
      <w:r>
        <w:rPr>
          <w:sz w:val="20"/>
          <w:szCs w:val="20"/>
        </w:rPr>
        <w:t xml:space="preserve">, </w:t>
      </w:r>
      <w:proofErr w:type="spellStart"/>
      <w:r>
        <w:rPr>
          <w:sz w:val="20"/>
          <w:szCs w:val="20"/>
          <w:lang w:val="sr-Latn-RS"/>
        </w:rPr>
        <w:t>Faculty</w:t>
      </w:r>
      <w:proofErr w:type="spellEnd"/>
      <w:r>
        <w:rPr>
          <w:sz w:val="20"/>
          <w:szCs w:val="20"/>
          <w:lang w:val="sr-Latn-RS"/>
        </w:rPr>
        <w:t xml:space="preserve"> </w:t>
      </w:r>
      <w:proofErr w:type="spellStart"/>
      <w:r>
        <w:rPr>
          <w:sz w:val="20"/>
          <w:szCs w:val="20"/>
          <w:lang w:val="sr-Latn-RS"/>
        </w:rPr>
        <w:t>of</w:t>
      </w:r>
      <w:proofErr w:type="spellEnd"/>
      <w:r>
        <w:rPr>
          <w:sz w:val="20"/>
          <w:szCs w:val="20"/>
          <w:lang w:val="sr-Latn-RS"/>
        </w:rPr>
        <w:t xml:space="preserve"> </w:t>
      </w:r>
      <w:proofErr w:type="spellStart"/>
      <w:r>
        <w:rPr>
          <w:sz w:val="20"/>
          <w:szCs w:val="20"/>
          <w:lang w:val="sr-Latn-RS"/>
        </w:rPr>
        <w:t>Technical</w:t>
      </w:r>
      <w:proofErr w:type="spellEnd"/>
      <w:r>
        <w:rPr>
          <w:sz w:val="20"/>
          <w:szCs w:val="20"/>
          <w:lang w:val="sr-Latn-RS"/>
        </w:rPr>
        <w:t xml:space="preserve"> </w:t>
      </w:r>
      <w:proofErr w:type="spellStart"/>
      <w:r>
        <w:rPr>
          <w:sz w:val="20"/>
          <w:szCs w:val="20"/>
          <w:lang w:val="sr-Latn-RS"/>
        </w:rPr>
        <w:t>Sciences</w:t>
      </w:r>
      <w:proofErr w:type="spellEnd"/>
      <w:r>
        <w:rPr>
          <w:sz w:val="20"/>
          <w:szCs w:val="20"/>
          <w:lang w:val="sr-Latn-RS"/>
        </w:rPr>
        <w:t>, Novi Sad</w:t>
      </w:r>
      <w:r>
        <w:rPr>
          <w:sz w:val="20"/>
          <w:szCs w:val="20"/>
        </w:rPr>
        <w:t xml:space="preserve">, </w:t>
      </w:r>
      <w:proofErr w:type="spellStart"/>
      <w:r>
        <w:rPr>
          <w:sz w:val="20"/>
          <w:szCs w:val="20"/>
          <w:lang w:val="sr-Latn-RS"/>
        </w:rPr>
        <w:t>Serbia</w:t>
      </w:r>
      <w:proofErr w:type="spellEnd"/>
      <w:r>
        <w:rPr>
          <w:sz w:val="20"/>
          <w:szCs w:val="20"/>
        </w:rPr>
        <w:t xml:space="preserve">, </w:t>
      </w:r>
      <w:proofErr w:type="spellStart"/>
      <w:r>
        <w:rPr>
          <w:sz w:val="20"/>
          <w:szCs w:val="20"/>
          <w:lang w:val="sr-Latn-RS"/>
        </w:rPr>
        <w:t>sasak</w:t>
      </w:r>
      <w:proofErr w:type="spellEnd"/>
      <w:r>
        <w:rPr>
          <w:sz w:val="20"/>
          <w:szCs w:val="20"/>
        </w:rPr>
        <w:t xml:space="preserve">@uns.ac.rs </w:t>
      </w:r>
    </w:p>
    <w:p w14:paraId="6811F339" w14:textId="3E8718E8" w:rsidR="00FA1872" w:rsidRDefault="00D2134A">
      <w:pPr>
        <w:pStyle w:val="BodyA"/>
        <w:jc w:val="center"/>
      </w:pPr>
      <w:r w:rsidRPr="00462729">
        <w:rPr>
          <w:sz w:val="20"/>
          <w:szCs w:val="20"/>
          <w:vertAlign w:val="superscript"/>
        </w:rPr>
        <w:t>3</w:t>
      </w:r>
      <w:r w:rsidR="00462729" w:rsidRPr="00462729">
        <w:rPr>
          <w:bCs/>
          <w:sz w:val="20"/>
          <w:szCs w:val="20"/>
        </w:rPr>
        <w:t xml:space="preserve">University of </w:t>
      </w:r>
      <w:proofErr w:type="spellStart"/>
      <w:proofErr w:type="gramStart"/>
      <w:r w:rsidR="00462729" w:rsidRPr="00462729">
        <w:rPr>
          <w:bCs/>
          <w:sz w:val="20"/>
          <w:szCs w:val="20"/>
        </w:rPr>
        <w:t>Belgrade</w:t>
      </w:r>
      <w:r w:rsidR="00462729" w:rsidRPr="00ED121E">
        <w:rPr>
          <w:bCs/>
          <w:i/>
          <w:iCs/>
          <w:sz w:val="20"/>
          <w:szCs w:val="20"/>
        </w:rPr>
        <w:t>,</w:t>
      </w:r>
      <w:r>
        <w:rPr>
          <w:sz w:val="20"/>
          <w:szCs w:val="20"/>
        </w:rPr>
        <w:t>Vinča</w:t>
      </w:r>
      <w:proofErr w:type="spellEnd"/>
      <w:proofErr w:type="gramEnd"/>
      <w:r>
        <w:rPr>
          <w:sz w:val="20"/>
          <w:szCs w:val="20"/>
        </w:rPr>
        <w:t xml:space="preserve"> Institute of Nuclear Sciences, Belgrade, Serbia, maricap@vin.bg.ac.rs</w:t>
      </w:r>
    </w:p>
    <w:p w14:paraId="49632358" w14:textId="380DABB9" w:rsidR="00815778" w:rsidRPr="00ED121E" w:rsidRDefault="008F2F82" w:rsidP="00815778">
      <w:pPr>
        <w:pStyle w:val="Abstract"/>
        <w:jc w:val="center"/>
        <w:rPr>
          <w:bCs/>
          <w:i w:val="0"/>
          <w:iCs w:val="0"/>
          <w:sz w:val="20"/>
          <w:szCs w:val="20"/>
        </w:rPr>
      </w:pPr>
      <w:r>
        <w:rPr>
          <w:bCs/>
          <w:i w:val="0"/>
          <w:iCs w:val="0"/>
          <w:sz w:val="20"/>
          <w:szCs w:val="20"/>
          <w:vertAlign w:val="superscript"/>
        </w:rPr>
        <w:t>4</w:t>
      </w:r>
      <w:r w:rsidR="00ED121E" w:rsidRPr="00ED121E">
        <w:rPr>
          <w:bCs/>
          <w:i w:val="0"/>
          <w:iCs w:val="0"/>
          <w:sz w:val="20"/>
          <w:szCs w:val="20"/>
        </w:rPr>
        <w:t>University of Belgrade,</w:t>
      </w:r>
      <w:r w:rsidR="00ED121E" w:rsidRPr="00ED121E">
        <w:rPr>
          <w:bCs/>
          <w:i w:val="0"/>
          <w:iCs w:val="0"/>
          <w:sz w:val="20"/>
          <w:szCs w:val="20"/>
          <w:vertAlign w:val="superscript"/>
        </w:rPr>
        <w:t xml:space="preserve"> </w:t>
      </w:r>
      <w:r w:rsidR="00815778" w:rsidRPr="00ED121E">
        <w:rPr>
          <w:bCs/>
          <w:i w:val="0"/>
          <w:iCs w:val="0"/>
          <w:sz w:val="20"/>
          <w:szCs w:val="20"/>
        </w:rPr>
        <w:t xml:space="preserve">Institute of Physics, Belgrade- </w:t>
      </w:r>
      <w:proofErr w:type="spellStart"/>
      <w:r w:rsidR="00815778" w:rsidRPr="00ED121E">
        <w:rPr>
          <w:bCs/>
          <w:i w:val="0"/>
          <w:iCs w:val="0"/>
          <w:sz w:val="20"/>
          <w:szCs w:val="20"/>
        </w:rPr>
        <w:t>Zemun</w:t>
      </w:r>
      <w:proofErr w:type="spellEnd"/>
      <w:r w:rsidR="00815778" w:rsidRPr="00ED121E">
        <w:rPr>
          <w:bCs/>
          <w:i w:val="0"/>
          <w:iCs w:val="0"/>
          <w:sz w:val="20"/>
          <w:szCs w:val="20"/>
        </w:rPr>
        <w:t>, Serbia</w:t>
      </w:r>
      <w:r w:rsidR="00ED121E" w:rsidRPr="00ED121E">
        <w:rPr>
          <w:bCs/>
          <w:i w:val="0"/>
          <w:iCs w:val="0"/>
          <w:sz w:val="20"/>
          <w:szCs w:val="20"/>
        </w:rPr>
        <w:t>, dragan.markushev@ipb.ac.rs</w:t>
      </w:r>
    </w:p>
    <w:p w14:paraId="13ACBC42" w14:textId="77777777" w:rsidR="00FA1872" w:rsidRPr="00ED121E" w:rsidRDefault="00FA1872">
      <w:pPr>
        <w:pStyle w:val="BodyA"/>
        <w:jc w:val="center"/>
        <w:rPr>
          <w:sz w:val="20"/>
          <w:szCs w:val="20"/>
        </w:rPr>
      </w:pPr>
    </w:p>
    <w:p w14:paraId="64BEEEB1" w14:textId="77777777" w:rsidR="00FA1872" w:rsidRDefault="00FA1872">
      <w:pPr>
        <w:pStyle w:val="BodyA"/>
        <w:jc w:val="center"/>
      </w:pPr>
    </w:p>
    <w:p w14:paraId="0BD7D76B" w14:textId="0E1C9F4D" w:rsidR="00FA1872" w:rsidRDefault="00D2134A">
      <w:pPr>
        <w:pStyle w:val="Default"/>
        <w:rPr>
          <w:rFonts w:ascii="Times New Roman" w:hAnsi="Times New Roman"/>
          <w:i/>
          <w:iCs/>
          <w:sz w:val="18"/>
          <w:szCs w:val="18"/>
        </w:rPr>
      </w:pPr>
      <w:r>
        <w:rPr>
          <w:rFonts w:ascii="Times New Roman" w:hAnsi="Times New Roman"/>
          <w:b/>
          <w:bCs/>
          <w:i/>
          <w:iCs/>
          <w:sz w:val="18"/>
          <w:szCs w:val="18"/>
        </w:rPr>
        <w:t>Abstract:</w:t>
      </w:r>
      <w:r>
        <w:rPr>
          <w:rFonts w:ascii="Times New Roman" w:hAnsi="Times New Roman"/>
          <w:i/>
          <w:iCs/>
          <w:sz w:val="18"/>
          <w:szCs w:val="18"/>
        </w:rPr>
        <w:t xml:space="preserve"> </w:t>
      </w:r>
      <w:r w:rsidR="00815778" w:rsidRPr="00815778">
        <w:rPr>
          <w:rFonts w:ascii="Times New Roman" w:hAnsi="Times New Roman"/>
          <w:i/>
          <w:iCs/>
          <w:sz w:val="18"/>
          <w:szCs w:val="18"/>
        </w:rPr>
        <w:t xml:space="preserve">This paper presents a new, improved classification method of microphones as photoacoustic detectors by applying computational intelligence algorithms combined with expert knowledge. The classification method is part of the procedure of calibration of model dependent diagnostic technics. Novelty is dimensionality reduction to one, two or three measurement points depending on the point position on the frequency </w:t>
      </w:r>
      <w:proofErr w:type="gramStart"/>
      <w:r w:rsidR="00815778" w:rsidRPr="00815778">
        <w:rPr>
          <w:rFonts w:ascii="Times New Roman" w:hAnsi="Times New Roman"/>
          <w:i/>
          <w:iCs/>
          <w:sz w:val="18"/>
          <w:szCs w:val="18"/>
        </w:rPr>
        <w:t>axis</w:t>
      </w:r>
      <w:proofErr w:type="gramEnd"/>
      <w:r w:rsidR="00815778" w:rsidRPr="00815778">
        <w:rPr>
          <w:rFonts w:ascii="Times New Roman" w:hAnsi="Times New Roman"/>
          <w:i/>
          <w:iCs/>
          <w:sz w:val="18"/>
          <w:szCs w:val="18"/>
        </w:rPr>
        <w:t xml:space="preserve"> and it was considered in the data preprocessing. It has been proven that the presented classification method is accurate, reliable and needs less time than standard classification procedures, enabling fast and the precise processing of photoacoustic measurement data. Special achievement refers to the experimental procedure, regarding reduction in the number of measurement points needed for classification in comparison to the number usually used in the standard measurement procedure of the photoacoustic experiment.</w:t>
      </w:r>
    </w:p>
    <w:p w14:paraId="726FD28C" w14:textId="77777777" w:rsidR="00FA1872" w:rsidRDefault="00FA1872">
      <w:pPr>
        <w:pStyle w:val="Default"/>
      </w:pPr>
    </w:p>
    <w:p w14:paraId="46ED4B48" w14:textId="3D13D2C9" w:rsidR="00FA1872" w:rsidRDefault="00D2134A">
      <w:pPr>
        <w:pStyle w:val="BodyA"/>
      </w:pPr>
      <w:r>
        <w:rPr>
          <w:b/>
          <w:bCs/>
          <w:i/>
          <w:iCs/>
          <w:sz w:val="18"/>
          <w:szCs w:val="18"/>
        </w:rPr>
        <w:t>Keywords:</w:t>
      </w:r>
      <w:r>
        <w:rPr>
          <w:i/>
          <w:iCs/>
          <w:sz w:val="18"/>
          <w:szCs w:val="18"/>
        </w:rPr>
        <w:t xml:space="preserve">  </w:t>
      </w:r>
      <w:r w:rsidR="00815778" w:rsidRPr="00815778">
        <w:rPr>
          <w:i/>
          <w:iCs/>
          <w:sz w:val="18"/>
          <w:szCs w:val="18"/>
        </w:rPr>
        <w:t>measurement data processing, neural networks,</w:t>
      </w:r>
      <w:r w:rsidR="00ED121E">
        <w:rPr>
          <w:i/>
          <w:iCs/>
          <w:sz w:val="18"/>
          <w:szCs w:val="18"/>
        </w:rPr>
        <w:t xml:space="preserve"> </w:t>
      </w:r>
      <w:r w:rsidR="00815778" w:rsidRPr="00815778">
        <w:rPr>
          <w:i/>
          <w:iCs/>
          <w:sz w:val="18"/>
          <w:szCs w:val="18"/>
        </w:rPr>
        <w:t>Principal Component Analysis, dimensionality reduction, microphone.</w:t>
      </w:r>
    </w:p>
    <w:p w14:paraId="186DDDE7" w14:textId="77777777" w:rsidR="00FA1872" w:rsidRDefault="00FA1872">
      <w:pPr>
        <w:pStyle w:val="BodyA"/>
        <w:jc w:val="center"/>
      </w:pPr>
    </w:p>
    <w:p w14:paraId="49E6AB1A" w14:textId="77777777" w:rsidR="00FA1872" w:rsidRDefault="00FA1872">
      <w:pPr>
        <w:pStyle w:val="BodyA"/>
      </w:pPr>
    </w:p>
    <w:p w14:paraId="313EE986" w14:textId="77777777" w:rsidR="00FA1872" w:rsidRDefault="00FA1872">
      <w:pPr>
        <w:pStyle w:val="BodyA"/>
        <w:jc w:val="center"/>
      </w:pPr>
    </w:p>
    <w:p w14:paraId="559194CB" w14:textId="77777777" w:rsidR="00FA1872" w:rsidRDefault="00D2134A">
      <w:pPr>
        <w:pStyle w:val="BodyA"/>
      </w:pPr>
      <w:r>
        <w:rPr>
          <w:b/>
          <w:bCs/>
          <w:sz w:val="22"/>
          <w:szCs w:val="22"/>
        </w:rPr>
        <w:t>1. INTRODUCTION</w:t>
      </w:r>
    </w:p>
    <w:p w14:paraId="4D0604CA" w14:textId="77777777" w:rsidR="00FA1872" w:rsidRDefault="00FA1872">
      <w:pPr>
        <w:pStyle w:val="BodyText"/>
        <w:spacing w:before="0" w:after="0"/>
      </w:pPr>
    </w:p>
    <w:p w14:paraId="3D7C0635" w14:textId="6F969F5F" w:rsidR="009535C2" w:rsidRPr="009535C2" w:rsidRDefault="009535C2"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9535C2">
        <w:rPr>
          <w:rFonts w:ascii="Times New Roman" w:eastAsia="Times New Roman" w:hAnsi="Times New Roman" w:cs="Times New Roman"/>
          <w:sz w:val="20"/>
          <w:szCs w:val="20"/>
        </w:rPr>
        <w:t xml:space="preserve">Artificial neural networks (ANN) are very powerful tools for data pattern recognition and thus intelligent decision making. Their capability to learn on a large dataset, as well as high processing speed, make them very suitable for application in  photoacoustic, as one of the methods in photothermal science, bringing significant improvements in: design of photoacoustic devices, noise removal, photoacoustic tomography image reconstruction, determination of physical parameters, etc. [1],[2],[3],[4],[5],[6],[7], proving the fact that </w:t>
      </w:r>
      <w:r w:rsidR="00FC7F5D">
        <w:rPr>
          <w:rFonts w:ascii="Times New Roman" w:eastAsia="Times New Roman" w:hAnsi="Times New Roman" w:cs="Times New Roman"/>
          <w:sz w:val="20"/>
          <w:szCs w:val="20"/>
        </w:rPr>
        <w:t xml:space="preserve">ANN and especially </w:t>
      </w:r>
      <w:r w:rsidRPr="009535C2">
        <w:rPr>
          <w:rFonts w:ascii="Times New Roman" w:eastAsia="Times New Roman" w:hAnsi="Times New Roman" w:cs="Times New Roman"/>
          <w:sz w:val="20"/>
          <w:szCs w:val="20"/>
        </w:rPr>
        <w:t xml:space="preserve">deep learning is making major advances in solving problems that have resisted the best attempts of the artificial intelligence community for many years [8]. </w:t>
      </w:r>
    </w:p>
    <w:p w14:paraId="5A06EB4E" w14:textId="302F26B4" w:rsidR="009535C2" w:rsidRPr="009535C2" w:rsidRDefault="009535C2"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9535C2">
        <w:rPr>
          <w:rFonts w:ascii="Times New Roman" w:eastAsia="Times New Roman" w:hAnsi="Times New Roman" w:cs="Times New Roman"/>
          <w:sz w:val="20"/>
          <w:szCs w:val="20"/>
        </w:rPr>
        <w:t>Research presented in this article as well as our previous work are directed to ANN application in photoacoustic measurement data processing [9][10][11]. Significant improvements are obtained, firstly in experimental set instrument influence reduction, then in the remarkable decrease of running time, reaching so-called real-time work, while preserving the basic requirements – that the measurements are reliable and accurate.</w:t>
      </w:r>
    </w:p>
    <w:p w14:paraId="567DF72F" w14:textId="1BEC83A3" w:rsidR="009535C2" w:rsidRPr="009535C2" w:rsidRDefault="009535C2"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9535C2">
        <w:rPr>
          <w:rFonts w:ascii="Times New Roman" w:eastAsia="Times New Roman" w:hAnsi="Times New Roman" w:cs="Times New Roman"/>
          <w:sz w:val="20"/>
          <w:szCs w:val="20"/>
        </w:rPr>
        <w:t xml:space="preserve">In open-cell configuration photoacoustic spectroscopy, used in the inverse determination of sample properties, the microphone with associated electronics and a phase-frequency (lock-in) amplifier plays a major role [12]. Open-cell configuration by default means putting the test sample directly onto the microphone entrance so that the microphone hole takes on the role of a photoacoustic cell. The measured PA signal in modulation frequency that ranges from 20 Hz to 20 kHz is distorted because of the presence of noise that originates from different sources and the significant influence of the measurement instruments, primarily the microphone, and especially at the ends of the frequency interval [13]. With the aim of correcting the photoacoustic response and obtaining the pure signal originating only from the excited sample, calibration of photoacoustic measurement </w:t>
      </w:r>
      <w:proofErr w:type="gramStart"/>
      <w:r w:rsidRPr="009535C2">
        <w:rPr>
          <w:rFonts w:ascii="Times New Roman" w:eastAsia="Times New Roman" w:hAnsi="Times New Roman" w:cs="Times New Roman"/>
          <w:sz w:val="20"/>
          <w:szCs w:val="20"/>
        </w:rPr>
        <w:t>has to</w:t>
      </w:r>
      <w:proofErr w:type="gramEnd"/>
      <w:r w:rsidRPr="009535C2">
        <w:rPr>
          <w:rFonts w:ascii="Times New Roman" w:eastAsia="Times New Roman" w:hAnsi="Times New Roman" w:cs="Times New Roman"/>
          <w:sz w:val="20"/>
          <w:szCs w:val="20"/>
        </w:rPr>
        <w:t xml:space="preserve"> be done. Thus, classification and characterization of the microphone as a photoacoustic detector are needed. Firstly, the microphone </w:t>
      </w:r>
      <w:proofErr w:type="gramStart"/>
      <w:r w:rsidRPr="009535C2">
        <w:rPr>
          <w:rFonts w:ascii="Times New Roman" w:eastAsia="Times New Roman" w:hAnsi="Times New Roman" w:cs="Times New Roman"/>
          <w:sz w:val="20"/>
          <w:szCs w:val="20"/>
        </w:rPr>
        <w:t>has to</w:t>
      </w:r>
      <w:proofErr w:type="gramEnd"/>
      <w:r w:rsidRPr="009535C2">
        <w:rPr>
          <w:rFonts w:ascii="Times New Roman" w:eastAsia="Times New Roman" w:hAnsi="Times New Roman" w:cs="Times New Roman"/>
          <w:sz w:val="20"/>
          <w:szCs w:val="20"/>
        </w:rPr>
        <w:t xml:space="preserve"> be classified and then characterized by the determination of its transfer function and characteristic filter frequencies.</w:t>
      </w:r>
    </w:p>
    <w:p w14:paraId="3980BCD6" w14:textId="5B82B930" w:rsidR="009535C2" w:rsidRPr="009535C2" w:rsidRDefault="009535C2"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9535C2">
        <w:rPr>
          <w:rFonts w:ascii="Times New Roman" w:eastAsia="Times New Roman" w:hAnsi="Times New Roman" w:cs="Times New Roman"/>
          <w:sz w:val="20"/>
          <w:szCs w:val="20"/>
        </w:rPr>
        <w:t xml:space="preserve">For simplicity, the microphone is considered as the main part of the measurement system with the greatest impact on distortions [13]. In our previous research, recognition of the microphone characteristics, as well as microphone classification were successfully managed by neural network application </w:t>
      </w:r>
      <w:proofErr w:type="gramStart"/>
      <w:r w:rsidRPr="009535C2">
        <w:rPr>
          <w:rFonts w:ascii="Times New Roman" w:eastAsia="Times New Roman" w:hAnsi="Times New Roman" w:cs="Times New Roman"/>
          <w:sz w:val="20"/>
          <w:szCs w:val="20"/>
        </w:rPr>
        <w:t>in order to</w:t>
      </w:r>
      <w:proofErr w:type="gramEnd"/>
      <w:r w:rsidRPr="009535C2">
        <w:rPr>
          <w:rFonts w:ascii="Times New Roman" w:eastAsia="Times New Roman" w:hAnsi="Times New Roman" w:cs="Times New Roman"/>
          <w:sz w:val="20"/>
          <w:szCs w:val="20"/>
        </w:rPr>
        <w:t xml:space="preserve"> isolate and correct its deficiency [9][11]. The distorted experimental signal can be corrected </w:t>
      </w:r>
      <w:proofErr w:type="gramStart"/>
      <w:r w:rsidRPr="009535C2">
        <w:rPr>
          <w:rFonts w:ascii="Times New Roman" w:eastAsia="Times New Roman" w:hAnsi="Times New Roman" w:cs="Times New Roman"/>
          <w:sz w:val="20"/>
          <w:szCs w:val="20"/>
        </w:rPr>
        <w:t>taking into account</w:t>
      </w:r>
      <w:proofErr w:type="gramEnd"/>
      <w:r w:rsidRPr="009535C2">
        <w:rPr>
          <w:rFonts w:ascii="Times New Roman" w:eastAsia="Times New Roman" w:hAnsi="Times New Roman" w:cs="Times New Roman"/>
          <w:sz w:val="20"/>
          <w:szCs w:val="20"/>
        </w:rPr>
        <w:t xml:space="preserve"> obtained electronic and acoustic </w:t>
      </w:r>
      <w:r w:rsidRPr="009535C2">
        <w:rPr>
          <w:rFonts w:ascii="Times New Roman" w:eastAsia="Times New Roman" w:hAnsi="Times New Roman" w:cs="Times New Roman"/>
          <w:sz w:val="20"/>
          <w:szCs w:val="20"/>
        </w:rPr>
        <w:lastRenderedPageBreak/>
        <w:t>parameters of photoacoustic detector – microphone and thus improving inverse solving of the PA problem by expanding the frequency range and increasing precision.</w:t>
      </w:r>
    </w:p>
    <w:p w14:paraId="1AD933C3" w14:textId="41075063" w:rsidR="009535C2" w:rsidRPr="009535C2" w:rsidRDefault="009535C2"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9535C2">
        <w:rPr>
          <w:rFonts w:ascii="Times New Roman" w:eastAsia="Times New Roman" w:hAnsi="Times New Roman" w:cs="Times New Roman"/>
          <w:sz w:val="20"/>
          <w:szCs w:val="20"/>
        </w:rPr>
        <w:t>Database of simulated experimental values was used in both regression and classification models [9][11], obtained by a known theoretical model. Every record is presented with 300 features, which are the amplitude and phase of the samples taken at 150 frequencies in the range from 20Hz to 20kHz. The database for the regression model has 67,500 records and was taken as a large dataset. A neural network was trained for the prediction of five targeted microphone characteristics. The model is proven to be of satisfying accuracy (98,5%) and reliability (maximum deviation of predicted microphone parameter from the accurate value is 0.8% in the case of independently simulated experiments that neural network has never seen) [9]. The microphone classification model was trained to recognize microphone type out of possible three [11]. The database for the classification model has 202,500 records. Performance of the model was highly satisfactory: accuracy is 99,99% and training last only 100 epochs. Results on real experimental values are presented in [10].</w:t>
      </w:r>
    </w:p>
    <w:p w14:paraId="19A38766" w14:textId="368B3169" w:rsidR="009535C2" w:rsidRPr="009535C2" w:rsidRDefault="0025658D"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009535C2" w:rsidRPr="009535C2">
        <w:rPr>
          <w:rFonts w:ascii="Times New Roman" w:eastAsia="Times New Roman" w:hAnsi="Times New Roman" w:cs="Times New Roman"/>
          <w:sz w:val="20"/>
          <w:szCs w:val="20"/>
        </w:rPr>
        <w:t xml:space="preserve">However, during different models testing on independent numerical experiments as well as real experiments [10] we noticed a few problems and possible solutions using artificial intelligence (AI) algorithms and expert knowledge. Namely, </w:t>
      </w:r>
      <w:proofErr w:type="gramStart"/>
      <w:r w:rsidR="009535C2" w:rsidRPr="009535C2">
        <w:rPr>
          <w:rFonts w:ascii="Times New Roman" w:eastAsia="Times New Roman" w:hAnsi="Times New Roman" w:cs="Times New Roman"/>
          <w:sz w:val="20"/>
          <w:szCs w:val="20"/>
        </w:rPr>
        <w:t>in order to</w:t>
      </w:r>
      <w:proofErr w:type="gramEnd"/>
      <w:r w:rsidR="009535C2" w:rsidRPr="009535C2">
        <w:rPr>
          <w:rFonts w:ascii="Times New Roman" w:eastAsia="Times New Roman" w:hAnsi="Times New Roman" w:cs="Times New Roman"/>
          <w:sz w:val="20"/>
          <w:szCs w:val="20"/>
        </w:rPr>
        <w:t xml:space="preserve"> better define amplitude characteristics in the frequency domain, a very big number of measurements points is needed and that is the main problem of photoacoustic measurements. Another problem is the different number of measurements from experiment to experiment. The number of measurement points depends on experimental conditions and the one who is performing the experiment. These problems make measurements very slow and tiring, but also make scientific collaboration difficult. Because of that, such a method </w:t>
      </w:r>
      <w:r w:rsidR="00371DD5">
        <w:rPr>
          <w:rFonts w:ascii="Times New Roman" w:eastAsia="Times New Roman" w:hAnsi="Times New Roman" w:cs="Times New Roman"/>
          <w:sz w:val="20"/>
          <w:szCs w:val="20"/>
        </w:rPr>
        <w:t xml:space="preserve">that </w:t>
      </w:r>
      <w:r w:rsidR="009535C2" w:rsidRPr="009535C2">
        <w:rPr>
          <w:rFonts w:ascii="Times New Roman" w:eastAsia="Times New Roman" w:hAnsi="Times New Roman" w:cs="Times New Roman"/>
          <w:sz w:val="20"/>
          <w:szCs w:val="20"/>
        </w:rPr>
        <w:t>will maintain accuracy and reliability, but a bigger measurement speed needs to be found.</w:t>
      </w:r>
    </w:p>
    <w:p w14:paraId="3372BF2C" w14:textId="57A4F52B" w:rsidR="009535C2" w:rsidRPr="009535C2" w:rsidRDefault="0025658D"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009535C2" w:rsidRPr="009535C2">
        <w:rPr>
          <w:rFonts w:ascii="Times New Roman" w:eastAsia="Times New Roman" w:hAnsi="Times New Roman" w:cs="Times New Roman"/>
          <w:sz w:val="20"/>
          <w:szCs w:val="20"/>
        </w:rPr>
        <w:t xml:space="preserve">The idea is reduction dimensionality algorithm application, Principal Component Analysis (PCA) in the data preprocessing phase. Dimensionality reduction means a reduction in the number of neural network inputs, so instead of the vector dimension n, there is a vector dimension k on the neural network input, where </w:t>
      </w:r>
      <w:r w:rsidR="007638D7" w:rsidRPr="00D62853">
        <w:rPr>
          <w:noProof/>
          <w:position w:val="-6"/>
        </w:rPr>
        <w:object w:dxaOrig="499" w:dyaOrig="260" w14:anchorId="1553C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2pt;height:12.95pt;mso-width-percent:0;mso-height-percent:0;mso-width-percent:0;mso-height-percent:0" o:ole="" fillcolor="window">
            <v:imagedata r:id="rId6" o:title=""/>
          </v:shape>
          <o:OLEObject Type="Embed" ProgID="Equation.3" ShapeID="_x0000_i1025" DrawAspect="Content" ObjectID="_1694462822" r:id="rId7"/>
        </w:object>
      </w:r>
      <w:r w:rsidR="009535C2" w:rsidRPr="009535C2">
        <w:rPr>
          <w:rFonts w:ascii="Times New Roman" w:eastAsia="Times New Roman" w:hAnsi="Times New Roman" w:cs="Times New Roman"/>
          <w:sz w:val="20"/>
          <w:szCs w:val="20"/>
        </w:rPr>
        <w:t xml:space="preserve"> [14] [15]. It is expected that less numerous measurement points will be needed by the application of PCA, which means a smaller number of neural network inputs, and so the simplification of the experimental procedure, also a speed up and automatization of the whole process of microphone classification and calibration in whole. At the same time, the problem of a different number of measurement points from experiment to experiment is generalized. The application of the suggested method generalizes the choice and number of measurement points.</w:t>
      </w:r>
    </w:p>
    <w:p w14:paraId="416B186B" w14:textId="15914A0E" w:rsidR="00EB6803" w:rsidRPr="004B22E3" w:rsidRDefault="0025658D"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009535C2" w:rsidRPr="004B22E3">
        <w:rPr>
          <w:rFonts w:ascii="Times New Roman" w:eastAsia="Times New Roman" w:hAnsi="Times New Roman" w:cs="Times New Roman"/>
          <w:sz w:val="20"/>
          <w:szCs w:val="20"/>
        </w:rPr>
        <w:t xml:space="preserve">The goal of this paper is to discuss the minimum number of measurement points, namely the minimum neural network input vector dimension necessary for accurate microphone type prediction using AI algorithms combined with expert knowledge.   </w:t>
      </w:r>
    </w:p>
    <w:p w14:paraId="01D2B3F6" w14:textId="0B4E92AD" w:rsidR="0025658D" w:rsidRDefault="0025658D" w:rsidP="009535C2">
      <w:pPr>
        <w:pStyle w:val="Default"/>
        <w:rPr>
          <w:rFonts w:ascii="Times New Roman" w:eastAsia="Times New Roman" w:hAnsi="Times New Roman" w:cs="Times New Roman"/>
          <w:sz w:val="20"/>
          <w:szCs w:val="20"/>
        </w:rPr>
      </w:pPr>
    </w:p>
    <w:p w14:paraId="605DB411" w14:textId="432E9701" w:rsidR="0025658D" w:rsidRDefault="0025658D" w:rsidP="0025658D">
      <w:pPr>
        <w:pStyle w:val="Default"/>
        <w:jc w:val="center"/>
        <w:rPr>
          <w:rFonts w:ascii="Times New Roman" w:eastAsia="Times New Roman" w:hAnsi="Times New Roman" w:cs="Times New Roman"/>
          <w:sz w:val="20"/>
          <w:szCs w:val="20"/>
        </w:rPr>
      </w:pPr>
      <w:r w:rsidRPr="007A1CA7">
        <w:rPr>
          <w:rFonts w:eastAsiaTheme="minorEastAsia"/>
          <w:noProof/>
          <w:sz w:val="16"/>
          <w:szCs w:val="16"/>
        </w:rPr>
        <w:drawing>
          <wp:inline distT="0" distB="0" distL="0" distR="0" wp14:anchorId="5C3F711D" wp14:editId="08E33CD5">
            <wp:extent cx="2123596" cy="155379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8" cstate="print">
                      <a:extLst>
                        <a:ext uri="{28A0092B-C50C-407E-A947-70E740481C1C}">
                          <a14:useLocalDpi xmlns:a14="http://schemas.microsoft.com/office/drawing/2010/main" val="0"/>
                        </a:ext>
                      </a:extLst>
                    </a:blip>
                    <a:srcRect l="3858" t="7104" r="10989" b="3790"/>
                    <a:stretch/>
                  </pic:blipFill>
                  <pic:spPr bwMode="auto">
                    <a:xfrm>
                      <a:off x="0" y="0"/>
                      <a:ext cx="2129012" cy="1557755"/>
                    </a:xfrm>
                    <a:prstGeom prst="rect">
                      <a:avLst/>
                    </a:prstGeom>
                    <a:ln>
                      <a:noFill/>
                    </a:ln>
                    <a:extLst>
                      <a:ext uri="{53640926-AAD7-44D8-BBD7-CCE9431645EC}">
                        <a14:shadowObscured xmlns:a14="http://schemas.microsoft.com/office/drawing/2010/main"/>
                      </a:ext>
                    </a:extLst>
                  </pic:spPr>
                </pic:pic>
              </a:graphicData>
            </a:graphic>
          </wp:inline>
        </w:drawing>
      </w:r>
      <w:r w:rsidRPr="007A1CA7">
        <w:rPr>
          <w:rFonts w:eastAsiaTheme="minorEastAsia"/>
          <w:noProof/>
          <w:sz w:val="16"/>
          <w:szCs w:val="16"/>
        </w:rPr>
        <w:drawing>
          <wp:inline distT="0" distB="0" distL="0" distR="0" wp14:anchorId="2E781AAD" wp14:editId="50A41E63">
            <wp:extent cx="2192020" cy="1533167"/>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9" cstate="print">
                      <a:extLst>
                        <a:ext uri="{28A0092B-C50C-407E-A947-70E740481C1C}">
                          <a14:useLocalDpi xmlns:a14="http://schemas.microsoft.com/office/drawing/2010/main" val="0"/>
                        </a:ext>
                      </a:extLst>
                    </a:blip>
                    <a:srcRect l="2460" t="9772" r="10344" b="3007"/>
                    <a:stretch/>
                  </pic:blipFill>
                  <pic:spPr bwMode="auto">
                    <a:xfrm>
                      <a:off x="0" y="0"/>
                      <a:ext cx="2197268" cy="1536838"/>
                    </a:xfrm>
                    <a:prstGeom prst="rect">
                      <a:avLst/>
                    </a:prstGeom>
                    <a:ln>
                      <a:noFill/>
                    </a:ln>
                    <a:extLst>
                      <a:ext uri="{53640926-AAD7-44D8-BBD7-CCE9431645EC}">
                        <a14:shadowObscured xmlns:a14="http://schemas.microsoft.com/office/drawing/2010/main"/>
                      </a:ext>
                    </a:extLst>
                  </pic:spPr>
                </pic:pic>
              </a:graphicData>
            </a:graphic>
          </wp:inline>
        </w:drawing>
      </w:r>
    </w:p>
    <w:p w14:paraId="6D63CF70" w14:textId="24B7B7BF" w:rsidR="0025658D" w:rsidRDefault="0025658D" w:rsidP="0025658D">
      <w:pPr>
        <w:pStyle w:val="Default"/>
        <w:jc w:val="center"/>
        <w:rPr>
          <w:rFonts w:ascii="Times New Roman" w:eastAsia="Times New Roman" w:hAnsi="Times New Roman" w:cs="Times New Roman"/>
          <w:sz w:val="20"/>
          <w:szCs w:val="20"/>
        </w:rPr>
      </w:pPr>
      <w:r w:rsidRPr="004720FB">
        <w:rPr>
          <w:rFonts w:ascii="Times New Roman" w:eastAsia="Times New Roman" w:hAnsi="Times New Roman" w:cs="Times New Roman"/>
          <w:b/>
          <w:bCs/>
          <w:sz w:val="20"/>
          <w:szCs w:val="20"/>
        </w:rPr>
        <w:t>Figure 1</w:t>
      </w:r>
      <w:r w:rsidRPr="0025658D">
        <w:rPr>
          <w:rFonts w:ascii="Times New Roman" w:eastAsia="Times New Roman" w:hAnsi="Times New Roman" w:cs="Times New Roman"/>
          <w:sz w:val="20"/>
          <w:szCs w:val="20"/>
        </w:rPr>
        <w:t>: Curves a) amplitude and b) phase of distorted photoacoustic signal built upon the 2 500 records of the dataset used for network training for microphones: EMC30B, EMC60 and WM66 [9]</w:t>
      </w:r>
    </w:p>
    <w:p w14:paraId="518F6AA6" w14:textId="77777777" w:rsidR="0025658D" w:rsidRDefault="0025658D" w:rsidP="0025658D">
      <w:pPr>
        <w:pStyle w:val="Default"/>
        <w:jc w:val="center"/>
        <w:rPr>
          <w:rFonts w:ascii="Times New Roman" w:eastAsia="Times New Roman" w:hAnsi="Times New Roman" w:cs="Times New Roman"/>
          <w:sz w:val="20"/>
          <w:szCs w:val="20"/>
        </w:rPr>
      </w:pPr>
    </w:p>
    <w:p w14:paraId="694D15F9" w14:textId="03745727" w:rsidR="0025658D" w:rsidRDefault="0025658D"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t>S</w:t>
      </w:r>
      <w:r w:rsidRPr="0025658D">
        <w:rPr>
          <w:rFonts w:ascii="Times New Roman" w:eastAsia="Times New Roman" w:hAnsi="Times New Roman" w:cs="Times New Roman"/>
          <w:sz w:val="20"/>
          <w:szCs w:val="20"/>
        </w:rPr>
        <w:t xml:space="preserve">tudying responses obtained by various microphones that we found in the literature or managed in the experiments done by us, it can be concluded that relative to microphone behavior, frequency range from 20 Hz till the end of the interval of interest (20 000 Hz) can be separated in the tree subranges: low frequencies (&lt;800Hz), flat subrange (800-2000 Hz) and high frequencies (&gt;2000 Hz).  Figure 1 proves those tree subranges in the case of shaped responses of tree electret microphones ECM30B, ECM60 and WM66. When it comes to microphone type, according to Figure 1, it can be obviously recognized at a low-frequency range. Microphone classification can be done at this part of the frequency interval. At flat subrange, amplitude overlap exists for all types of microphones. The overlap makes impossible a conclusion about the microphone type by simple response analyses. High-frequency subrange is also not suitable for classification by observation because microphone response depends on a lot of parameters (geometry of the system and detector itself, measured signal level, etc.).  </w:t>
      </w:r>
    </w:p>
    <w:p w14:paraId="21401B42" w14:textId="1556E1D7" w:rsidR="0025658D" w:rsidRDefault="0025658D" w:rsidP="009535C2">
      <w:pPr>
        <w:pStyle w:val="Default"/>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25658D">
        <w:rPr>
          <w:rFonts w:ascii="Times New Roman" w:eastAsia="Times New Roman" w:hAnsi="Times New Roman" w:cs="Times New Roman"/>
          <w:sz w:val="20"/>
          <w:szCs w:val="20"/>
        </w:rPr>
        <w:t>In the further course of our research, expert knowledge about microphone behavior in the combination of AI algorithms will be used for feature selection, so the new classification method presented in this article is relative to frequency range and number of experimental points. Special attention is paid to parts of the frequency range where classification is not unambiguous enough based on standard analyses of amplitude-phase characteristics</w:t>
      </w:r>
      <w:r w:rsidR="004B22E3">
        <w:rPr>
          <w:rFonts w:ascii="Times New Roman" w:eastAsia="Times New Roman" w:hAnsi="Times New Roman" w:cs="Times New Roman"/>
          <w:sz w:val="20"/>
          <w:szCs w:val="20"/>
        </w:rPr>
        <w:t>.</w:t>
      </w:r>
    </w:p>
    <w:p w14:paraId="5F793DEB" w14:textId="6E5E49C3" w:rsidR="009535C2" w:rsidRDefault="009535C2" w:rsidP="009535C2">
      <w:pPr>
        <w:pStyle w:val="Default"/>
      </w:pPr>
    </w:p>
    <w:p w14:paraId="3240A132" w14:textId="7474CF9B" w:rsidR="004E5626" w:rsidRDefault="004E5626" w:rsidP="009535C2">
      <w:pPr>
        <w:pStyle w:val="Default"/>
      </w:pPr>
    </w:p>
    <w:p w14:paraId="404D6259" w14:textId="77777777" w:rsidR="004E5626" w:rsidRDefault="004E5626" w:rsidP="009535C2">
      <w:pPr>
        <w:pStyle w:val="Default"/>
      </w:pPr>
    </w:p>
    <w:p w14:paraId="4494A187" w14:textId="5F5B42C5" w:rsidR="00FA1872" w:rsidRDefault="0025658D">
      <w:pPr>
        <w:pStyle w:val="BodyA"/>
      </w:pPr>
      <w:r>
        <w:rPr>
          <w:b/>
          <w:bCs/>
          <w:sz w:val="22"/>
          <w:szCs w:val="22"/>
        </w:rPr>
        <w:lastRenderedPageBreak/>
        <w:t>2</w:t>
      </w:r>
      <w:r w:rsidR="00D2134A">
        <w:rPr>
          <w:b/>
          <w:bCs/>
          <w:sz w:val="22"/>
          <w:szCs w:val="22"/>
        </w:rPr>
        <w:t xml:space="preserve">. </w:t>
      </w:r>
      <w:r w:rsidR="00D2134A">
        <w:rPr>
          <w:sz w:val="19"/>
          <w:szCs w:val="19"/>
        </w:rPr>
        <w:t> </w:t>
      </w:r>
      <w:r w:rsidRPr="0025658D">
        <w:rPr>
          <w:b/>
          <w:bCs/>
          <w:sz w:val="22"/>
          <w:szCs w:val="22"/>
        </w:rPr>
        <w:t>METHOD</w:t>
      </w:r>
    </w:p>
    <w:p w14:paraId="15059E06" w14:textId="77777777" w:rsidR="00FA1872" w:rsidRDefault="00FA1872">
      <w:pPr>
        <w:pStyle w:val="BodyA"/>
      </w:pPr>
    </w:p>
    <w:p w14:paraId="5E11602B" w14:textId="77777777" w:rsidR="0025658D" w:rsidRPr="0025658D" w:rsidRDefault="0025658D" w:rsidP="0025658D">
      <w:pPr>
        <w:ind w:firstLine="720"/>
        <w:jc w:val="both"/>
        <w:rPr>
          <w:sz w:val="20"/>
          <w:szCs w:val="20"/>
          <w:u w:color="1D1F21"/>
          <w:shd w:val="clear" w:color="auto" w:fill="FFFFFF"/>
        </w:rPr>
      </w:pPr>
      <w:r w:rsidRPr="0025658D">
        <w:rPr>
          <w:sz w:val="20"/>
          <w:szCs w:val="20"/>
          <w:u w:color="1D1F21"/>
          <w:shd w:val="clear" w:color="auto" w:fill="FFFFFF"/>
        </w:rPr>
        <w:t xml:space="preserve">The method consists of two procedures, firstly PCA has applied separately on each frequency subrange. Then relative to the frequency subrange the neural network is trained using a corresponding, the reduced dataset for classification of microphone type. So, the decision about the microphone type is obtained by information from only one subrange. </w:t>
      </w:r>
    </w:p>
    <w:p w14:paraId="7E14F39A" w14:textId="36EC10FA" w:rsidR="00EB6803" w:rsidRDefault="0025658D" w:rsidP="0025658D">
      <w:pPr>
        <w:ind w:firstLine="720"/>
        <w:jc w:val="both"/>
        <w:rPr>
          <w:sz w:val="20"/>
          <w:szCs w:val="20"/>
          <w:u w:color="1D1F21"/>
          <w:shd w:val="clear" w:color="auto" w:fill="FFFFFF"/>
        </w:rPr>
      </w:pPr>
      <w:r w:rsidRPr="0025658D">
        <w:rPr>
          <w:sz w:val="20"/>
          <w:szCs w:val="20"/>
          <w:u w:color="1D1F21"/>
          <w:shd w:val="clear" w:color="auto" w:fill="FFFFFF"/>
        </w:rPr>
        <w:t>The designed neural network has three layers, Figure 2, two of which are hidden, and one which is an output layer. There are 25 neurons in the first hidden layer, 12 neurons in the second, and 3 neurons in the output layer. The design of the neural network and hyperparameter tuning as well as the creation of the dataset used for training are presented in our previous work [11]. The input vector presents samples of amplitude and phase characteristics of the analyzed microphone in a definite number of points on the frequency axis. The number of points is subject to further discussion in this paper. Three microphone types ECM30, ECM60 and WM66 are presented with three classes (0,1,2). Those classes are network outputs. At the same time, only one output can be of value 1, the other two are of value 0, meaning that the observed microphone belongs to the selected class (output=1).</w:t>
      </w:r>
    </w:p>
    <w:p w14:paraId="1954259B" w14:textId="77777777" w:rsidR="0025658D" w:rsidRDefault="0025658D" w:rsidP="0025658D">
      <w:pPr>
        <w:ind w:firstLine="720"/>
        <w:jc w:val="both"/>
        <w:rPr>
          <w:sz w:val="20"/>
          <w:szCs w:val="20"/>
          <w:u w:color="1D1F21"/>
          <w:shd w:val="clear" w:color="auto" w:fill="FFFFFF"/>
        </w:rPr>
      </w:pPr>
    </w:p>
    <w:p w14:paraId="61FE541E" w14:textId="77777777" w:rsidR="00FA1872" w:rsidRDefault="00FA1872">
      <w:pPr>
        <w:pStyle w:val="CommentText"/>
        <w:ind w:firstLine="720"/>
        <w:rPr>
          <w:bCs/>
        </w:rPr>
      </w:pPr>
    </w:p>
    <w:p w14:paraId="74EDF0E4" w14:textId="77777777" w:rsidR="00FA1872" w:rsidRDefault="00D2134A">
      <w:pPr>
        <w:pStyle w:val="CommentText"/>
        <w:ind w:firstLine="720"/>
        <w:jc w:val="center"/>
        <w:rPr>
          <w:bCs/>
        </w:rPr>
      </w:pPr>
      <w:r>
        <w:rPr>
          <w:bCs/>
          <w:noProof/>
        </w:rPr>
        <w:drawing>
          <wp:inline distT="0" distB="0" distL="0" distR="0" wp14:anchorId="3B9CBA43" wp14:editId="66CF453D">
            <wp:extent cx="3242603" cy="2706528"/>
            <wp:effectExtent l="0" t="0" r="0" b="0"/>
            <wp:docPr id="21" name="Picture 2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 up of a device&#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rcRect l="9299" t="15727" r="4086"/>
                    <a:stretch>
                      <a:fillRect/>
                    </a:stretch>
                  </pic:blipFill>
                  <pic:spPr>
                    <a:xfrm>
                      <a:off x="0" y="0"/>
                      <a:ext cx="3274663" cy="2733288"/>
                    </a:xfrm>
                    <a:prstGeom prst="rect">
                      <a:avLst/>
                    </a:prstGeom>
                    <a:ln>
                      <a:noFill/>
                    </a:ln>
                  </pic:spPr>
                </pic:pic>
              </a:graphicData>
            </a:graphic>
          </wp:inline>
        </w:drawing>
      </w:r>
    </w:p>
    <w:p w14:paraId="673F4D8B" w14:textId="0C3E41CA" w:rsidR="00FA1872" w:rsidRDefault="00D2134A">
      <w:pPr>
        <w:pStyle w:val="CommentText"/>
        <w:ind w:firstLine="720"/>
        <w:jc w:val="center"/>
        <w:rPr>
          <w:bCs/>
        </w:rPr>
      </w:pPr>
      <w:r w:rsidRPr="00E14CB3">
        <w:rPr>
          <w:b/>
        </w:rPr>
        <w:t>Figure 2</w:t>
      </w:r>
      <w:r>
        <w:rPr>
          <w:bCs/>
        </w:rPr>
        <w:t xml:space="preserve">: </w:t>
      </w:r>
      <w:r w:rsidR="0025658D" w:rsidRPr="007A1CA7">
        <w:rPr>
          <w:bCs/>
        </w:rPr>
        <w:t>Neural network design: input-linear-tanh-liner-tanh-linear-tanh-</w:t>
      </w:r>
      <w:proofErr w:type="spellStart"/>
      <w:r w:rsidR="0025658D" w:rsidRPr="007A1CA7">
        <w:rPr>
          <w:bCs/>
        </w:rPr>
        <w:t>softmax</w:t>
      </w:r>
      <w:proofErr w:type="spellEnd"/>
      <w:r w:rsidR="004720FB">
        <w:rPr>
          <w:bCs/>
        </w:rPr>
        <w:t xml:space="preserve"> [11]</w:t>
      </w:r>
    </w:p>
    <w:p w14:paraId="63247125" w14:textId="77777777" w:rsidR="0025658D" w:rsidRDefault="0025658D">
      <w:pPr>
        <w:pStyle w:val="CommentText"/>
        <w:ind w:firstLine="720"/>
        <w:jc w:val="center"/>
        <w:rPr>
          <w:bCs/>
        </w:rPr>
      </w:pPr>
    </w:p>
    <w:p w14:paraId="028EAAF0" w14:textId="5A14EED7" w:rsidR="00FA1872" w:rsidRDefault="0025658D">
      <w:pPr>
        <w:pStyle w:val="CommentText"/>
      </w:pPr>
      <w:r w:rsidRPr="0025658D">
        <w:t>The number of features is the number of inputs of the neural network. One sample presented with amplitude and phase is the result of a one-point measurement, so the number of measurements is one half of the required number of features.  Numerically, a one-point measurement is idle, but regarding principles to physics, the minimum for curve definition is five points.</w:t>
      </w:r>
    </w:p>
    <w:p w14:paraId="701B950E" w14:textId="77777777" w:rsidR="00EA4BBE" w:rsidRPr="0025658D" w:rsidRDefault="00EA4BBE">
      <w:pPr>
        <w:pStyle w:val="CommentText"/>
      </w:pPr>
    </w:p>
    <w:p w14:paraId="67E2D103" w14:textId="6D3229F4" w:rsidR="00EB6803" w:rsidRDefault="00EA4BBE">
      <w:pPr>
        <w:pStyle w:val="CommentText"/>
        <w:rPr>
          <w:b/>
          <w:bCs/>
        </w:rPr>
      </w:pPr>
      <w:r w:rsidRPr="00EA4BBE">
        <w:rPr>
          <w:b/>
          <w:bCs/>
        </w:rPr>
        <w:t>4. RESULTS AND DISCUSSION</w:t>
      </w:r>
    </w:p>
    <w:p w14:paraId="388056D3" w14:textId="77777777" w:rsidR="00EA4BBE" w:rsidRDefault="00EA4BBE">
      <w:pPr>
        <w:pStyle w:val="CommentText"/>
        <w:rPr>
          <w:bCs/>
        </w:rPr>
      </w:pPr>
    </w:p>
    <w:p w14:paraId="37999CB4" w14:textId="2B7B71D1" w:rsidR="00EA4BBE" w:rsidRDefault="00EA4BBE" w:rsidP="00EA4BBE">
      <w:pPr>
        <w:ind w:firstLine="720"/>
        <w:jc w:val="both"/>
        <w:rPr>
          <w:bCs/>
          <w:sz w:val="20"/>
          <w:szCs w:val="20"/>
        </w:rPr>
      </w:pPr>
      <w:r w:rsidRPr="00EA4BBE">
        <w:rPr>
          <w:bCs/>
          <w:sz w:val="20"/>
          <w:szCs w:val="20"/>
        </w:rPr>
        <w:t xml:space="preserve">Based on the analysis of the estimated variance of the whole dataset (300 features) obtained by the PCA technique, it was concluded that the idea for dimensionality reduction of the input vector is completely justified, Figure3. The retained variance for 2 parameters (1amplitude + 1 phase), which means a reduction in the dataset dimension to only one measurement point at the frequency axis, is 99.67%. Variance for 4 parameters, meaning dataset dimensionality reduction to two points on the frequency axis, is 99.89%. Variance for 10 parameters, meaning dataset dimensionality reduction to five points on the frequency axis, is 99.98 %. </w:t>
      </w:r>
    </w:p>
    <w:p w14:paraId="19C338FD" w14:textId="0C940D61" w:rsidR="004E5626" w:rsidRDefault="004E5626" w:rsidP="004E5626">
      <w:pPr>
        <w:ind w:firstLine="720"/>
        <w:jc w:val="both"/>
        <w:rPr>
          <w:bCs/>
          <w:sz w:val="20"/>
          <w:szCs w:val="20"/>
        </w:rPr>
      </w:pPr>
      <w:r w:rsidRPr="00EA4BBE">
        <w:rPr>
          <w:bCs/>
          <w:sz w:val="20"/>
          <w:szCs w:val="20"/>
        </w:rPr>
        <w:t xml:space="preserve">It was concluded that the idea for dimensionality reduction of the input vector is completely justified based on the analysis of the estimated variance of the whole dataset (300 features) obtained by the PCA technique, Figure3. The retained variance for 2 parameters (1amplitude + 1 phase), which means a reduction in the dataset dimension to only one measurement point at the frequency axis, is 99.67%. Variance for 4 parameters, meaning dataset dimensionality reduction to two points on the frequency axis, is 99.89%. Variance for 10 parameters, meaning dataset dimensionality reduction to five points on the frequency axis, is 99.98 %. </w:t>
      </w:r>
    </w:p>
    <w:p w14:paraId="6030DAA0" w14:textId="77777777" w:rsidR="001026BF" w:rsidRPr="00EA4BBE" w:rsidRDefault="001026BF" w:rsidP="001026BF">
      <w:pPr>
        <w:pStyle w:val="NormalWeb"/>
        <w:ind w:firstLine="720"/>
        <w:rPr>
          <w:bCs/>
          <w:sz w:val="20"/>
          <w:szCs w:val="20"/>
        </w:rPr>
      </w:pPr>
      <w:r w:rsidRPr="00EA4BBE">
        <w:rPr>
          <w:bCs/>
          <w:sz w:val="20"/>
          <w:szCs w:val="20"/>
        </w:rPr>
        <w:t>According to the fact that a retained variance of 99% means not</w:t>
      </w:r>
      <w:r w:rsidRPr="00EA4BBE">
        <w:rPr>
          <w:sz w:val="20"/>
          <w:szCs w:val="20"/>
        </w:rPr>
        <w:t xml:space="preserve"> much loss of information at a reduced dataset and that variance values of  </w:t>
      </w:r>
      <w:r w:rsidRPr="00EA4BBE">
        <w:rPr>
          <w:bCs/>
          <w:sz w:val="20"/>
          <w:szCs w:val="20"/>
        </w:rPr>
        <w:t xml:space="preserve">95-99% are optimal too </w:t>
      </w:r>
      <w:r w:rsidRPr="00EA4BBE">
        <w:rPr>
          <w:bCs/>
          <w:sz w:val="20"/>
          <w:szCs w:val="20"/>
        </w:rPr>
        <w:fldChar w:fldCharType="begin" w:fldLock="1"/>
      </w:r>
      <w:r w:rsidRPr="00EA4BBE">
        <w:rPr>
          <w:bCs/>
          <w:sz w:val="20"/>
          <w:szCs w:val="20"/>
        </w:rPr>
        <w:instrText>ADDIN CSL_CITATION {"citationItems":[{"id":"ITEM-1","itemData":{"DOI":"10.1017/CBO9781107298019","ISBN":"978-1-107-05713-5","ISSN":"0033-6572","PMID":"7991770","abstract":"Machine learning is one of the fastest growing areas of computer science, with far-reaching applications. The aim of this textbook is to introduce machine learning, and the algorithmic paradigms it offers, in a principled way. The book provides an extensive theoretical account of the fundamental ideas underlying machine learning and the mathematical derivations that transform these principles into practical algorithms. Following a presentation of the basics of the field, the book covers a wide array of central topics that have not been addressed by previous textbooks. These include a discussion of the computational complexity of learning and the concepts of convexity and stability; important algorithmic paradigms including stochastic gradient descent, neural networks, and structured output learning; and emerging theoretical concepts such as the PAC-Bayes approach and compression-based bounds. Designed for an advanced undergraduate or beginning graduate course, the text makes the fundamentals and algorithms of machine learning accessible to students and non-expert readers in statistics, computer science, mathematics, and engineering.","author":[{"dropping-particle":"","family":"Shalev-Shwartz","given":"Shai","non-dropping-particle":"","parse-names":false,"suffix":""},{"dropping-particle":"","family":"Ben-David","given":"Shai","non-dropping-particle":"","parse-names":false,"suffix":""}],"container-title":"Understanding Machine Learning: From Theory to Algorithms","id":"ITEM-1","issued":{"date-parts":[["2014"]]},"number-of-pages":"1-397","publisher":"Cambridge University Press.","publisher-place":"New York, USA","title":"Understanding machine learning: From theory to algorithms","type":"book"},"uris":["http://www.mendeley.com/documents/?uuid=b75d03cf-3752-44e7-be50-e567ffa94c6e"]}],"mendeley":{"formattedCitation":"[18]","plainTextFormattedCitation":"[18]","previouslyFormattedCitation":"[18]"},"properties":{"noteIndex":0},"schema":"https://github.com/citation-style-language/schema/raw/master/csl-citation.json"}</w:instrText>
      </w:r>
      <w:r w:rsidRPr="00EA4BBE">
        <w:rPr>
          <w:bCs/>
          <w:sz w:val="20"/>
          <w:szCs w:val="20"/>
        </w:rPr>
        <w:fldChar w:fldCharType="separate"/>
      </w:r>
      <w:r w:rsidRPr="00EA4BBE">
        <w:rPr>
          <w:bCs/>
          <w:noProof/>
          <w:sz w:val="20"/>
          <w:szCs w:val="20"/>
        </w:rPr>
        <w:t>[18]</w:t>
      </w:r>
      <w:r w:rsidRPr="00EA4BBE">
        <w:rPr>
          <w:bCs/>
          <w:sz w:val="20"/>
          <w:szCs w:val="20"/>
        </w:rPr>
        <w:fldChar w:fldCharType="end"/>
      </w:r>
      <w:r w:rsidRPr="00EA4BBE">
        <w:rPr>
          <w:bCs/>
          <w:sz w:val="20"/>
          <w:szCs w:val="20"/>
        </w:rPr>
        <w:fldChar w:fldCharType="begin" w:fldLock="1"/>
      </w:r>
      <w:r w:rsidRPr="00EA4BBE">
        <w:rPr>
          <w:bCs/>
          <w:sz w:val="20"/>
          <w:szCs w:val="20"/>
        </w:rPr>
        <w:instrText>ADDIN CSL_CITATION {"citationItems":[{"id":"ITEM-1","itemData":{"ISBN":"ISBN-13: 978-0387-31073-2","author":[{"dropping-particle":"","family":"Christopher","given":"Bishop","non-dropping-particle":"","parse-names":false,"suffix":""}],"id":"ITEM-1","issued":{"date-parts":[["2006"]]},"publisher":"© 2006 Springer Science+Business Media, LLC","title":"Pattern Recognition and Machine Learning","type":"book"},"uris":["http://www.mendeley.com/documents/?uuid=5093c409-c6d5-428c-a680-a47c43b654b2"]}],"mendeley":{"formattedCitation":"[19]","plainTextFormattedCitation":"[19]","previouslyFormattedCitation":"[19]"},"properties":{"noteIndex":0},"schema":"https://github.com/citation-style-language/schema/raw/master/csl-citation.json"}</w:instrText>
      </w:r>
      <w:r w:rsidRPr="00EA4BBE">
        <w:rPr>
          <w:bCs/>
          <w:sz w:val="20"/>
          <w:szCs w:val="20"/>
        </w:rPr>
        <w:fldChar w:fldCharType="separate"/>
      </w:r>
      <w:r w:rsidRPr="00EA4BBE">
        <w:rPr>
          <w:bCs/>
          <w:noProof/>
          <w:sz w:val="20"/>
          <w:szCs w:val="20"/>
        </w:rPr>
        <w:t>[19]</w:t>
      </w:r>
      <w:r w:rsidRPr="00EA4BBE">
        <w:rPr>
          <w:bCs/>
          <w:sz w:val="20"/>
          <w:szCs w:val="20"/>
        </w:rPr>
        <w:fldChar w:fldCharType="end"/>
      </w:r>
      <w:r w:rsidRPr="00EA4BBE">
        <w:rPr>
          <w:bCs/>
          <w:sz w:val="20"/>
          <w:szCs w:val="20"/>
        </w:rPr>
        <w:fldChar w:fldCharType="begin" w:fldLock="1"/>
      </w:r>
      <w:r w:rsidRPr="00EA4BBE">
        <w:rPr>
          <w:bCs/>
          <w:sz w:val="20"/>
          <w:szCs w:val="20"/>
        </w:rPr>
        <w:instrText>ADDIN CSL_CITATION {"citationItems":[{"id":"ITEM-1","itemData":{"ISBN":"1139505343","abstract":"The popularity of the Web and Internet commerce provides many extremely large datasets from which information can be gleaned by data mining. This book focuses on practical algorithms that have been used to solve key problems in data mining and which can be used on even the largest datasets. It begins with a discussion of the map-reduce framework, an important tool for parallelizing algorithms automatically. The authors explain the tricks of locality-sensitive hashing and stream processing algorithms for mining data that arrives too fast for exhaustive processing. The PageRank idea and related tricks for organizing the Web are covered next. Other chapters cover the problems of finding frequent itemsets and clustering. The final chapters cover two applications: recommendation systems and Web advertising, each vital in e-commerce. Written by two authorities in database and Web technologies, this book is essential reading for students and practitioners alike.","author":[{"dropping-particle":"","family":"Rajaraman","given":"Anand","non-dropping-particle":"","parse-names":false,"suffix":""},{"dropping-particle":"","family":"Ullman","given":"Jeffrey David","non-dropping-particle":"","parse-names":false,"suffix":""},{"dropping-particle":"","family":"Leskovec","given":"Jure","non-dropping-particle":"","parse-names":false,"suffix":""}],"id":"ITEM-1","issued":{"date-parts":[["2012"]]},"page":"315","title":"Mining of Massive Datasets (Google eBook)","type":"article-journal"},"uris":["http://www.mendeley.com/documents/?uuid=818fa03a-2180-4177-98ed-f325ff9bf28e"]}],"mendeley":{"formattedCitation":"[20]","plainTextFormattedCitation":"[20]","previouslyFormattedCitation":"[20]"},"properties":{"noteIndex":0},"schema":"https://github.com/citation-style-language/schema/raw/master/csl-citation.json"}</w:instrText>
      </w:r>
      <w:r w:rsidRPr="00EA4BBE">
        <w:rPr>
          <w:bCs/>
          <w:sz w:val="20"/>
          <w:szCs w:val="20"/>
        </w:rPr>
        <w:fldChar w:fldCharType="separate"/>
      </w:r>
      <w:r w:rsidRPr="00EA4BBE">
        <w:rPr>
          <w:bCs/>
          <w:noProof/>
          <w:sz w:val="20"/>
          <w:szCs w:val="20"/>
        </w:rPr>
        <w:t>[20]</w:t>
      </w:r>
      <w:r w:rsidRPr="00EA4BBE">
        <w:rPr>
          <w:bCs/>
          <w:sz w:val="20"/>
          <w:szCs w:val="20"/>
        </w:rPr>
        <w:fldChar w:fldCharType="end"/>
      </w:r>
      <w:r w:rsidRPr="00EA4BBE">
        <w:rPr>
          <w:bCs/>
          <w:sz w:val="20"/>
          <w:szCs w:val="20"/>
        </w:rPr>
        <w:t xml:space="preserve">, a performance analysis of microphone classification with one, two or three points on the frequency axis was performed. Additionally, </w:t>
      </w:r>
      <w:proofErr w:type="gramStart"/>
      <w:r w:rsidRPr="00EA4BBE">
        <w:rPr>
          <w:bCs/>
          <w:sz w:val="20"/>
          <w:szCs w:val="20"/>
        </w:rPr>
        <w:t>experts</w:t>
      </w:r>
      <w:proofErr w:type="gramEnd"/>
      <w:r w:rsidRPr="00EA4BBE">
        <w:rPr>
          <w:bCs/>
          <w:sz w:val="20"/>
          <w:szCs w:val="20"/>
        </w:rPr>
        <w:t xml:space="preserve"> conclusions about different microphone behavior depending on the part of the frequency range are taken into account. For that reason, the PCA algorithm is applied at each subrange separately.</w:t>
      </w:r>
    </w:p>
    <w:p w14:paraId="26D1F857" w14:textId="77777777" w:rsidR="001026BF" w:rsidRPr="00EA4BBE" w:rsidRDefault="001026BF" w:rsidP="004E5626">
      <w:pPr>
        <w:ind w:firstLine="720"/>
        <w:jc w:val="both"/>
        <w:rPr>
          <w:bCs/>
          <w:sz w:val="20"/>
          <w:szCs w:val="20"/>
        </w:rPr>
      </w:pPr>
    </w:p>
    <w:p w14:paraId="39CA1CE4" w14:textId="77777777" w:rsidR="004E5626" w:rsidRPr="00EA4BBE" w:rsidRDefault="004E5626" w:rsidP="00EA4BBE">
      <w:pPr>
        <w:ind w:firstLine="720"/>
        <w:jc w:val="both"/>
        <w:rPr>
          <w:bCs/>
          <w:sz w:val="20"/>
          <w:szCs w:val="20"/>
        </w:rPr>
      </w:pPr>
    </w:p>
    <w:p w14:paraId="1B1D7BDC" w14:textId="77777777" w:rsidR="00EA4BBE" w:rsidRPr="007A1CA7" w:rsidRDefault="00EA4BBE" w:rsidP="00EA4BBE"/>
    <w:p w14:paraId="552571ED" w14:textId="77777777" w:rsidR="00EA4BBE" w:rsidRPr="007A1CA7" w:rsidRDefault="00EA4BBE" w:rsidP="00EA4BBE">
      <w:pPr>
        <w:jc w:val="center"/>
        <w:rPr>
          <w:bCs/>
        </w:rPr>
      </w:pPr>
      <w:r w:rsidRPr="007A1CA7">
        <w:rPr>
          <w:bCs/>
          <w:noProof/>
        </w:rPr>
        <w:drawing>
          <wp:inline distT="0" distB="0" distL="0" distR="0" wp14:anchorId="744A236D" wp14:editId="5B3DF280">
            <wp:extent cx="3600000" cy="2160000"/>
            <wp:effectExtent l="0" t="0" r="0" b="0"/>
            <wp:docPr id="94" name="Picture 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Picture 94" descr="Chart&#10;&#10;Description automatically generated"/>
                    <pic:cNvPicPr/>
                  </pic:nvPicPr>
                  <pic:blipFill rotWithShape="1">
                    <a:blip r:embed="rId11" cstate="print">
                      <a:extLst>
                        <a:ext uri="{28A0092B-C50C-407E-A947-70E740481C1C}">
                          <a14:useLocalDpi xmlns:a14="http://schemas.microsoft.com/office/drawing/2010/main" val="0"/>
                        </a:ext>
                      </a:extLst>
                    </a:blip>
                    <a:srcRect t="9510" r="8564" b="5239"/>
                    <a:stretch/>
                  </pic:blipFill>
                  <pic:spPr bwMode="auto">
                    <a:xfrm>
                      <a:off x="0" y="0"/>
                      <a:ext cx="3600000" cy="2160000"/>
                    </a:xfrm>
                    <a:prstGeom prst="rect">
                      <a:avLst/>
                    </a:prstGeom>
                    <a:ln>
                      <a:noFill/>
                    </a:ln>
                    <a:extLst>
                      <a:ext uri="{53640926-AAD7-44D8-BBD7-CCE9431645EC}">
                        <a14:shadowObscured xmlns:a14="http://schemas.microsoft.com/office/drawing/2010/main"/>
                      </a:ext>
                    </a:extLst>
                  </pic:spPr>
                </pic:pic>
              </a:graphicData>
            </a:graphic>
          </wp:inline>
        </w:drawing>
      </w:r>
    </w:p>
    <w:p w14:paraId="1890641F" w14:textId="5A3E13F3" w:rsidR="00EA4BBE" w:rsidRDefault="00EA4BBE" w:rsidP="00EA4BBE">
      <w:pPr>
        <w:jc w:val="center"/>
        <w:rPr>
          <w:bCs/>
          <w:sz w:val="20"/>
          <w:szCs w:val="20"/>
        </w:rPr>
      </w:pPr>
      <w:r w:rsidRPr="00E14CB3">
        <w:rPr>
          <w:b/>
          <w:sz w:val="20"/>
          <w:szCs w:val="20"/>
        </w:rPr>
        <w:t>Figure 3</w:t>
      </w:r>
      <w:r w:rsidRPr="00EA4BBE">
        <w:rPr>
          <w:bCs/>
          <w:sz w:val="20"/>
          <w:szCs w:val="20"/>
        </w:rPr>
        <w:t>: Reduced dataset variance depending on the number of features, analyzed at the whole range (20-20000) Hz</w:t>
      </w:r>
    </w:p>
    <w:p w14:paraId="1A903C21" w14:textId="77777777" w:rsidR="00EA4BBE" w:rsidRPr="00EA4BBE" w:rsidRDefault="00EA4BBE" w:rsidP="00EA4BBE">
      <w:pPr>
        <w:jc w:val="center"/>
        <w:rPr>
          <w:bCs/>
          <w:sz w:val="20"/>
          <w:szCs w:val="20"/>
        </w:rPr>
      </w:pPr>
    </w:p>
    <w:p w14:paraId="04340F44" w14:textId="77777777" w:rsidR="00EA4BBE" w:rsidRPr="00EA4BBE" w:rsidRDefault="00EA4BBE" w:rsidP="00EA4BBE">
      <w:pPr>
        <w:pStyle w:val="NormalWeb"/>
        <w:ind w:firstLine="720"/>
        <w:rPr>
          <w:bCs/>
          <w:sz w:val="20"/>
          <w:szCs w:val="20"/>
        </w:rPr>
      </w:pPr>
      <w:r w:rsidRPr="00EA4BBE">
        <w:rPr>
          <w:bCs/>
          <w:sz w:val="20"/>
          <w:szCs w:val="20"/>
        </w:rPr>
        <w:t>According to the fact that a retained variance of 99% means not</w:t>
      </w:r>
      <w:r w:rsidRPr="00EA4BBE">
        <w:rPr>
          <w:sz w:val="20"/>
          <w:szCs w:val="20"/>
        </w:rPr>
        <w:t xml:space="preserve"> much loss of information at a reduced dataset and that variance values of  </w:t>
      </w:r>
      <w:r w:rsidRPr="00EA4BBE">
        <w:rPr>
          <w:bCs/>
          <w:sz w:val="20"/>
          <w:szCs w:val="20"/>
        </w:rPr>
        <w:t xml:space="preserve">95-99% are optimal too </w:t>
      </w:r>
      <w:r w:rsidRPr="00EA4BBE">
        <w:rPr>
          <w:bCs/>
          <w:sz w:val="20"/>
          <w:szCs w:val="20"/>
        </w:rPr>
        <w:fldChar w:fldCharType="begin" w:fldLock="1"/>
      </w:r>
      <w:r w:rsidRPr="00EA4BBE">
        <w:rPr>
          <w:bCs/>
          <w:sz w:val="20"/>
          <w:szCs w:val="20"/>
        </w:rPr>
        <w:instrText>ADDIN CSL_CITATION {"citationItems":[{"id":"ITEM-1","itemData":{"DOI":"10.1017/CBO9781107298019","ISBN":"978-1-107-05713-5","ISSN":"0033-6572","PMID":"7991770","abstract":"Machine learning is one of the fastest growing areas of computer science, with far-reaching applications. The aim of this textbook is to introduce machine learning, and the algorithmic paradigms it offers, in a principled way. The book provides an extensive theoretical account of the fundamental ideas underlying machine learning and the mathematical derivations that transform these principles into practical algorithms. Following a presentation of the basics of the field, the book covers a wide array of central topics that have not been addressed by previous textbooks. These include a discussion of the computational complexity of learning and the concepts of convexity and stability; important algorithmic paradigms including stochastic gradient descent, neural networks, and structured output learning; and emerging theoretical concepts such as the PAC-Bayes approach and compression-based bounds. Designed for an advanced undergraduate or beginning graduate course, the text makes the fundamentals and algorithms of machine learning accessible to students and non-expert readers in statistics, computer science, mathematics, and engineering.","author":[{"dropping-particle":"","family":"Shalev-Shwartz","given":"Shai","non-dropping-particle":"","parse-names":false,"suffix":""},{"dropping-particle":"","family":"Ben-David","given":"Shai","non-dropping-particle":"","parse-names":false,"suffix":""}],"container-title":"Understanding Machine Learning: From Theory to Algorithms","id":"ITEM-1","issued":{"date-parts":[["2014"]]},"number-of-pages":"1-397","publisher":"Cambridge University Press.","publisher-place":"New York, USA","title":"Understanding machine learning: From theory to algorithms","type":"book"},"uris":["http://www.mendeley.com/documents/?uuid=b75d03cf-3752-44e7-be50-e567ffa94c6e"]}],"mendeley":{"formattedCitation":"[18]","plainTextFormattedCitation":"[18]","previouslyFormattedCitation":"[18]"},"properties":{"noteIndex":0},"schema":"https://github.com/citation-style-language/schema/raw/master/csl-citation.json"}</w:instrText>
      </w:r>
      <w:r w:rsidRPr="00EA4BBE">
        <w:rPr>
          <w:bCs/>
          <w:sz w:val="20"/>
          <w:szCs w:val="20"/>
        </w:rPr>
        <w:fldChar w:fldCharType="separate"/>
      </w:r>
      <w:r w:rsidRPr="00EA4BBE">
        <w:rPr>
          <w:bCs/>
          <w:noProof/>
          <w:sz w:val="20"/>
          <w:szCs w:val="20"/>
        </w:rPr>
        <w:t>[18]</w:t>
      </w:r>
      <w:r w:rsidRPr="00EA4BBE">
        <w:rPr>
          <w:bCs/>
          <w:sz w:val="20"/>
          <w:szCs w:val="20"/>
        </w:rPr>
        <w:fldChar w:fldCharType="end"/>
      </w:r>
      <w:r w:rsidRPr="00EA4BBE">
        <w:rPr>
          <w:bCs/>
          <w:sz w:val="20"/>
          <w:szCs w:val="20"/>
        </w:rPr>
        <w:fldChar w:fldCharType="begin" w:fldLock="1"/>
      </w:r>
      <w:r w:rsidRPr="00EA4BBE">
        <w:rPr>
          <w:bCs/>
          <w:sz w:val="20"/>
          <w:szCs w:val="20"/>
        </w:rPr>
        <w:instrText>ADDIN CSL_CITATION {"citationItems":[{"id":"ITEM-1","itemData":{"ISBN":"ISBN-13: 978-0387-31073-2","author":[{"dropping-particle":"","family":"Christopher","given":"Bishop","non-dropping-particle":"","parse-names":false,"suffix":""}],"id":"ITEM-1","issued":{"date-parts":[["2006"]]},"publisher":"© 2006 Springer Science+Business Media, LLC","title":"Pattern Recognition and Machine Learning","type":"book"},"uris":["http://www.mendeley.com/documents/?uuid=5093c409-c6d5-428c-a680-a47c43b654b2"]}],"mendeley":{"formattedCitation":"[19]","plainTextFormattedCitation":"[19]","previouslyFormattedCitation":"[19]"},"properties":{"noteIndex":0},"schema":"https://github.com/citation-style-language/schema/raw/master/csl-citation.json"}</w:instrText>
      </w:r>
      <w:r w:rsidRPr="00EA4BBE">
        <w:rPr>
          <w:bCs/>
          <w:sz w:val="20"/>
          <w:szCs w:val="20"/>
        </w:rPr>
        <w:fldChar w:fldCharType="separate"/>
      </w:r>
      <w:r w:rsidRPr="00EA4BBE">
        <w:rPr>
          <w:bCs/>
          <w:noProof/>
          <w:sz w:val="20"/>
          <w:szCs w:val="20"/>
        </w:rPr>
        <w:t>[19]</w:t>
      </w:r>
      <w:r w:rsidRPr="00EA4BBE">
        <w:rPr>
          <w:bCs/>
          <w:sz w:val="20"/>
          <w:szCs w:val="20"/>
        </w:rPr>
        <w:fldChar w:fldCharType="end"/>
      </w:r>
      <w:r w:rsidRPr="00EA4BBE">
        <w:rPr>
          <w:bCs/>
          <w:sz w:val="20"/>
          <w:szCs w:val="20"/>
        </w:rPr>
        <w:fldChar w:fldCharType="begin" w:fldLock="1"/>
      </w:r>
      <w:r w:rsidRPr="00EA4BBE">
        <w:rPr>
          <w:bCs/>
          <w:sz w:val="20"/>
          <w:szCs w:val="20"/>
        </w:rPr>
        <w:instrText>ADDIN CSL_CITATION {"citationItems":[{"id":"ITEM-1","itemData":{"ISBN":"1139505343","abstract":"The popularity of the Web and Internet commerce provides many extremely large datasets from which information can be gleaned by data mining. This book focuses on practical algorithms that have been used to solve key problems in data mining and which can be used on even the largest datasets. It begins with a discussion of the map-reduce framework, an important tool for parallelizing algorithms automatically. The authors explain the tricks of locality-sensitive hashing and stream processing algorithms for mining data that arrives too fast for exhaustive processing. The PageRank idea and related tricks for organizing the Web are covered next. Other chapters cover the problems of finding frequent itemsets and clustering. The final chapters cover two applications: recommendation systems and Web advertising, each vital in e-commerce. Written by two authorities in database and Web technologies, this book is essential reading for students and practitioners alike.","author":[{"dropping-particle":"","family":"Rajaraman","given":"Anand","non-dropping-particle":"","parse-names":false,"suffix":""},{"dropping-particle":"","family":"Ullman","given":"Jeffrey David","non-dropping-particle":"","parse-names":false,"suffix":""},{"dropping-particle":"","family":"Leskovec","given":"Jure","non-dropping-particle":"","parse-names":false,"suffix":""}],"id":"ITEM-1","issued":{"date-parts":[["2012"]]},"page":"315","title":"Mining of Massive Datasets (Google eBook)","type":"article-journal"},"uris":["http://www.mendeley.com/documents/?uuid=818fa03a-2180-4177-98ed-f325ff9bf28e"]}],"mendeley":{"formattedCitation":"[20]","plainTextFormattedCitation":"[20]","previouslyFormattedCitation":"[20]"},"properties":{"noteIndex":0},"schema":"https://github.com/citation-style-language/schema/raw/master/csl-citation.json"}</w:instrText>
      </w:r>
      <w:r w:rsidRPr="00EA4BBE">
        <w:rPr>
          <w:bCs/>
          <w:sz w:val="20"/>
          <w:szCs w:val="20"/>
        </w:rPr>
        <w:fldChar w:fldCharType="separate"/>
      </w:r>
      <w:r w:rsidRPr="00EA4BBE">
        <w:rPr>
          <w:bCs/>
          <w:noProof/>
          <w:sz w:val="20"/>
          <w:szCs w:val="20"/>
        </w:rPr>
        <w:t>[20]</w:t>
      </w:r>
      <w:r w:rsidRPr="00EA4BBE">
        <w:rPr>
          <w:bCs/>
          <w:sz w:val="20"/>
          <w:szCs w:val="20"/>
        </w:rPr>
        <w:fldChar w:fldCharType="end"/>
      </w:r>
      <w:r w:rsidRPr="00EA4BBE">
        <w:rPr>
          <w:bCs/>
          <w:sz w:val="20"/>
          <w:szCs w:val="20"/>
        </w:rPr>
        <w:t xml:space="preserve">, a performance analysis of microphone classification with one, two or three points on the frequency axis was performed. Additionally, </w:t>
      </w:r>
      <w:proofErr w:type="gramStart"/>
      <w:r w:rsidRPr="00EA4BBE">
        <w:rPr>
          <w:bCs/>
          <w:sz w:val="20"/>
          <w:szCs w:val="20"/>
        </w:rPr>
        <w:t>experts</w:t>
      </w:r>
      <w:proofErr w:type="gramEnd"/>
      <w:r w:rsidRPr="00EA4BBE">
        <w:rPr>
          <w:bCs/>
          <w:sz w:val="20"/>
          <w:szCs w:val="20"/>
        </w:rPr>
        <w:t xml:space="preserve"> conclusions about different microphone behavior depending on the part of the frequency range are taken into account. For that reason, the PCA algorithm is applied at each subrange separately.</w:t>
      </w:r>
    </w:p>
    <w:p w14:paraId="5C3A4FFC" w14:textId="77777777" w:rsidR="00EA4BBE" w:rsidRPr="007A1CA7" w:rsidRDefault="00EA4BBE" w:rsidP="00EA4BBE">
      <w:pPr>
        <w:pStyle w:val="NormalWeb"/>
        <w:ind w:firstLine="720"/>
        <w:rPr>
          <w:bCs/>
          <w:sz w:val="20"/>
          <w:szCs w:val="20"/>
        </w:rPr>
      </w:pPr>
    </w:p>
    <w:p w14:paraId="441B5DCC" w14:textId="77777777" w:rsidR="00EA4BBE" w:rsidRPr="007A1CA7" w:rsidRDefault="00EA4BBE" w:rsidP="00EA4BBE">
      <w:pPr>
        <w:jc w:val="center"/>
        <w:rPr>
          <w:bCs/>
        </w:rPr>
      </w:pPr>
      <w:r w:rsidRPr="007A1CA7">
        <w:rPr>
          <w:bCs/>
          <w:noProof/>
        </w:rPr>
        <w:drawing>
          <wp:inline distT="0" distB="0" distL="0" distR="0" wp14:anchorId="728CF389" wp14:editId="2467C336">
            <wp:extent cx="3600000" cy="2160000"/>
            <wp:effectExtent l="0" t="0" r="0" b="0"/>
            <wp:docPr id="95" name="Picture 95" descr="A picture containing 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Picture 95" descr="A picture containing graphical user interface&#10;&#10;Description automatically generated"/>
                    <pic:cNvPicPr/>
                  </pic:nvPicPr>
                  <pic:blipFill rotWithShape="1">
                    <a:blip r:embed="rId12" cstate="print">
                      <a:extLst>
                        <a:ext uri="{28A0092B-C50C-407E-A947-70E740481C1C}">
                          <a14:useLocalDpi xmlns:a14="http://schemas.microsoft.com/office/drawing/2010/main" val="0"/>
                        </a:ext>
                      </a:extLst>
                    </a:blip>
                    <a:srcRect l="5102" t="7885" r="8589" b="6084"/>
                    <a:stretch/>
                  </pic:blipFill>
                  <pic:spPr bwMode="auto">
                    <a:xfrm>
                      <a:off x="0" y="0"/>
                      <a:ext cx="3600000" cy="2160000"/>
                    </a:xfrm>
                    <a:prstGeom prst="rect">
                      <a:avLst/>
                    </a:prstGeom>
                    <a:ln>
                      <a:noFill/>
                    </a:ln>
                    <a:extLst>
                      <a:ext uri="{53640926-AAD7-44D8-BBD7-CCE9431645EC}">
                        <a14:shadowObscured xmlns:a14="http://schemas.microsoft.com/office/drawing/2010/main"/>
                      </a:ext>
                    </a:extLst>
                  </pic:spPr>
                </pic:pic>
              </a:graphicData>
            </a:graphic>
          </wp:inline>
        </w:drawing>
      </w:r>
    </w:p>
    <w:p w14:paraId="68EA407C" w14:textId="77777777" w:rsidR="00EA4BBE" w:rsidRPr="00EA4BBE" w:rsidRDefault="00EA4BBE" w:rsidP="00EA4BBE">
      <w:pPr>
        <w:jc w:val="center"/>
        <w:rPr>
          <w:bCs/>
          <w:sz w:val="20"/>
          <w:szCs w:val="20"/>
        </w:rPr>
      </w:pPr>
      <w:r w:rsidRPr="00E14CB3">
        <w:rPr>
          <w:b/>
          <w:sz w:val="20"/>
          <w:szCs w:val="20"/>
        </w:rPr>
        <w:t>Figure 4</w:t>
      </w:r>
      <w:r w:rsidRPr="00EA4BBE">
        <w:rPr>
          <w:bCs/>
          <w:sz w:val="20"/>
          <w:szCs w:val="20"/>
        </w:rPr>
        <w:t xml:space="preserve">: Reduced dataset variance depending </w:t>
      </w:r>
      <w:proofErr w:type="gramStart"/>
      <w:r w:rsidRPr="00EA4BBE">
        <w:rPr>
          <w:bCs/>
          <w:sz w:val="20"/>
          <w:szCs w:val="20"/>
        </w:rPr>
        <w:t>of</w:t>
      </w:r>
      <w:proofErr w:type="gramEnd"/>
      <w:r w:rsidRPr="00EA4BBE">
        <w:rPr>
          <w:bCs/>
          <w:sz w:val="20"/>
          <w:szCs w:val="20"/>
        </w:rPr>
        <w:t xml:space="preserve"> the number of features, analyzed at</w:t>
      </w:r>
    </w:p>
    <w:p w14:paraId="7DB8CC08" w14:textId="77777777" w:rsidR="00EA4BBE" w:rsidRPr="00EA4BBE" w:rsidRDefault="00EA4BBE" w:rsidP="00EA4BBE">
      <w:pPr>
        <w:jc w:val="center"/>
        <w:rPr>
          <w:bCs/>
          <w:sz w:val="20"/>
          <w:szCs w:val="20"/>
        </w:rPr>
      </w:pPr>
      <w:r w:rsidRPr="00EA4BBE">
        <w:rPr>
          <w:bCs/>
          <w:sz w:val="20"/>
          <w:szCs w:val="20"/>
        </w:rPr>
        <w:t xml:space="preserve">the NF subrange </w:t>
      </w:r>
    </w:p>
    <w:p w14:paraId="357839D4" w14:textId="77777777" w:rsidR="00EA4BBE" w:rsidRPr="007A1CA7" w:rsidRDefault="00EA4BBE" w:rsidP="00EA4BBE">
      <w:pPr>
        <w:pStyle w:val="NormalWeb"/>
        <w:rPr>
          <w:bCs/>
          <w:sz w:val="20"/>
          <w:szCs w:val="20"/>
        </w:rPr>
      </w:pPr>
    </w:p>
    <w:p w14:paraId="604F5BA5" w14:textId="77777777" w:rsidR="00EA4BBE" w:rsidRPr="00EA4BBE" w:rsidRDefault="00EA4BBE" w:rsidP="00EA4BBE">
      <w:pPr>
        <w:ind w:firstLine="720"/>
        <w:jc w:val="both"/>
        <w:rPr>
          <w:bCs/>
          <w:sz w:val="20"/>
          <w:szCs w:val="20"/>
        </w:rPr>
      </w:pPr>
      <w:r w:rsidRPr="00EA4BBE">
        <w:rPr>
          <w:bCs/>
          <w:sz w:val="20"/>
          <w:szCs w:val="20"/>
        </w:rPr>
        <w:t xml:space="preserve">The estimated value of variance by the PCA technique on the subrange of low frequencies is shown in Figure 4. This subrange has 160 features initially in each record, apropos 80 measurement points. For 2 features, meaning dataset dimensionality reduction to one point on the frequency axis, the variance has a value of 99.9929%. The value of variance for 4 features, meaning dataset dimensionality reduction to two points on the frequency axis, is 99.999998%. It is concluded that the analysis of microphone classification in this part of the range with only one point is completely justified. </w:t>
      </w:r>
    </w:p>
    <w:p w14:paraId="5F7BBCC7" w14:textId="77777777" w:rsidR="00EA4BBE" w:rsidRPr="00EA4BBE" w:rsidRDefault="00EA4BBE" w:rsidP="00EA4BBE">
      <w:pPr>
        <w:ind w:firstLine="720"/>
        <w:jc w:val="both"/>
        <w:rPr>
          <w:bCs/>
          <w:sz w:val="20"/>
          <w:szCs w:val="20"/>
        </w:rPr>
      </w:pPr>
      <w:r w:rsidRPr="00EA4BBE">
        <w:rPr>
          <w:bCs/>
          <w:sz w:val="20"/>
          <w:szCs w:val="20"/>
        </w:rPr>
        <w:t>The value of variance is 99,99993 %, estimated by the PCA technique at a flat subrange for 2 features (Figure 5). The value of variance for 4 features is 99.99999998%. The analysis of microphone classification for this subrange has been performed with one and with two points for a comparison of the results.  The dimension is reduced from 40 to 2 and from 40 to 4 features in the second case.</w:t>
      </w:r>
    </w:p>
    <w:p w14:paraId="29061774" w14:textId="77777777" w:rsidR="00EA4BBE" w:rsidRPr="00EA4BBE" w:rsidRDefault="00EA4BBE" w:rsidP="00EA4BBE">
      <w:pPr>
        <w:ind w:firstLine="720"/>
        <w:jc w:val="both"/>
        <w:rPr>
          <w:bCs/>
          <w:sz w:val="20"/>
          <w:szCs w:val="20"/>
        </w:rPr>
      </w:pPr>
      <w:r w:rsidRPr="00EA4BBE">
        <w:rPr>
          <w:bCs/>
          <w:sz w:val="20"/>
          <w:szCs w:val="20"/>
        </w:rPr>
        <w:t>The estimated variance using the PCA technique at the VF subrange for 2 features is 99.35 %. The variance for 4 features is 99.78 % and for 6 features is 99.88 %, Figure 6.  The analysis of microphone classification for this subrange has been performed with two and with three points.  The dimension is reduced from 100 to 4 and from 100 to 6 features in the second case.</w:t>
      </w:r>
    </w:p>
    <w:p w14:paraId="69BE8BF7" w14:textId="77777777" w:rsidR="00EA4BBE" w:rsidRPr="007A1CA7" w:rsidRDefault="00EA4BBE" w:rsidP="00EA4BBE">
      <w:pPr>
        <w:rPr>
          <w:bCs/>
        </w:rPr>
      </w:pPr>
    </w:p>
    <w:p w14:paraId="4E0C5FDE" w14:textId="77777777" w:rsidR="00EA4BBE" w:rsidRPr="007A1CA7" w:rsidRDefault="00EA4BBE" w:rsidP="00EA4BBE">
      <w:pPr>
        <w:jc w:val="center"/>
        <w:rPr>
          <w:bCs/>
        </w:rPr>
      </w:pPr>
      <w:r w:rsidRPr="007A1CA7">
        <w:rPr>
          <w:bCs/>
          <w:noProof/>
        </w:rPr>
        <w:lastRenderedPageBreak/>
        <w:drawing>
          <wp:inline distT="0" distB="0" distL="0" distR="0" wp14:anchorId="3BB8AC95" wp14:editId="36C1B249">
            <wp:extent cx="3600000" cy="2160000"/>
            <wp:effectExtent l="0" t="0" r="0" b="0"/>
            <wp:docPr id="104" name="Picture 104" descr="Graphical user interfac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10;&#10;Description automatically generated with medium confidence"/>
                    <pic:cNvPicPr/>
                  </pic:nvPicPr>
                  <pic:blipFill rotWithShape="1">
                    <a:blip r:embed="rId13" cstate="print">
                      <a:extLst>
                        <a:ext uri="{28A0092B-C50C-407E-A947-70E740481C1C}">
                          <a14:useLocalDpi xmlns:a14="http://schemas.microsoft.com/office/drawing/2010/main" val="0"/>
                        </a:ext>
                      </a:extLst>
                    </a:blip>
                    <a:srcRect l="4413" t="7907" r="11054" b="7120"/>
                    <a:stretch/>
                  </pic:blipFill>
                  <pic:spPr bwMode="auto">
                    <a:xfrm>
                      <a:off x="0" y="0"/>
                      <a:ext cx="3600000" cy="2160000"/>
                    </a:xfrm>
                    <a:prstGeom prst="rect">
                      <a:avLst/>
                    </a:prstGeom>
                    <a:ln>
                      <a:noFill/>
                    </a:ln>
                    <a:extLst>
                      <a:ext uri="{53640926-AAD7-44D8-BBD7-CCE9431645EC}">
                        <a14:shadowObscured xmlns:a14="http://schemas.microsoft.com/office/drawing/2010/main"/>
                      </a:ext>
                    </a:extLst>
                  </pic:spPr>
                </pic:pic>
              </a:graphicData>
            </a:graphic>
          </wp:inline>
        </w:drawing>
      </w:r>
    </w:p>
    <w:p w14:paraId="4BC69905" w14:textId="77777777" w:rsidR="00EA4BBE" w:rsidRPr="00EA4BBE" w:rsidRDefault="00EA4BBE" w:rsidP="00EA4BBE">
      <w:pPr>
        <w:jc w:val="center"/>
        <w:rPr>
          <w:bCs/>
          <w:sz w:val="20"/>
          <w:szCs w:val="20"/>
        </w:rPr>
      </w:pPr>
      <w:r w:rsidRPr="00E14CB3">
        <w:rPr>
          <w:b/>
          <w:sz w:val="20"/>
          <w:szCs w:val="20"/>
        </w:rPr>
        <w:t>Figure 5</w:t>
      </w:r>
      <w:r w:rsidRPr="00EA4BBE">
        <w:rPr>
          <w:bCs/>
          <w:sz w:val="20"/>
          <w:szCs w:val="20"/>
        </w:rPr>
        <w:t>: Reduced dataset variance depending on the number of features, analyzed in</w:t>
      </w:r>
    </w:p>
    <w:p w14:paraId="1CE938B3" w14:textId="2A5F7237" w:rsidR="00EA4BBE" w:rsidRDefault="00EA4BBE" w:rsidP="00EA4BBE">
      <w:pPr>
        <w:jc w:val="center"/>
        <w:rPr>
          <w:bCs/>
          <w:sz w:val="20"/>
          <w:szCs w:val="20"/>
        </w:rPr>
      </w:pPr>
      <w:r w:rsidRPr="00EA4BBE">
        <w:rPr>
          <w:bCs/>
          <w:sz w:val="20"/>
          <w:szCs w:val="20"/>
        </w:rPr>
        <w:t>the flat subrange</w:t>
      </w:r>
    </w:p>
    <w:p w14:paraId="2AAD729C" w14:textId="77777777" w:rsidR="00EA4BBE" w:rsidRPr="00EA4BBE" w:rsidRDefault="00EA4BBE" w:rsidP="00EA4BBE">
      <w:pPr>
        <w:jc w:val="center"/>
        <w:rPr>
          <w:bCs/>
          <w:sz w:val="20"/>
          <w:szCs w:val="20"/>
        </w:rPr>
      </w:pPr>
    </w:p>
    <w:p w14:paraId="008FA422" w14:textId="77777777" w:rsidR="00EA4BBE" w:rsidRPr="007A1CA7" w:rsidRDefault="00EA4BBE" w:rsidP="00EA4BBE">
      <w:pPr>
        <w:rPr>
          <w:bCs/>
        </w:rPr>
      </w:pPr>
    </w:p>
    <w:p w14:paraId="2198600E" w14:textId="77777777" w:rsidR="00EA4BBE" w:rsidRPr="007A1CA7" w:rsidRDefault="00EA4BBE" w:rsidP="00EA4BBE">
      <w:pPr>
        <w:jc w:val="center"/>
        <w:rPr>
          <w:bCs/>
        </w:rPr>
      </w:pPr>
      <w:r w:rsidRPr="007A1CA7">
        <w:rPr>
          <w:bCs/>
          <w:noProof/>
        </w:rPr>
        <w:drawing>
          <wp:inline distT="0" distB="0" distL="0" distR="0" wp14:anchorId="3FE17269" wp14:editId="46EF0275">
            <wp:extent cx="3600000" cy="2160000"/>
            <wp:effectExtent l="0" t="0" r="0" b="0"/>
            <wp:docPr id="105" name="Picture 105" descr="A picture containing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Picture 105" descr="A picture containing chart&#10;&#10;Description automatically generated"/>
                    <pic:cNvPicPr/>
                  </pic:nvPicPr>
                  <pic:blipFill rotWithShape="1">
                    <a:blip r:embed="rId14" cstate="print">
                      <a:extLst>
                        <a:ext uri="{28A0092B-C50C-407E-A947-70E740481C1C}">
                          <a14:useLocalDpi xmlns:a14="http://schemas.microsoft.com/office/drawing/2010/main" val="0"/>
                        </a:ext>
                      </a:extLst>
                    </a:blip>
                    <a:srcRect l="9792" t="11231" r="14925" b="12067"/>
                    <a:stretch/>
                  </pic:blipFill>
                  <pic:spPr bwMode="auto">
                    <a:xfrm>
                      <a:off x="0" y="0"/>
                      <a:ext cx="3600000" cy="2160000"/>
                    </a:xfrm>
                    <a:prstGeom prst="rect">
                      <a:avLst/>
                    </a:prstGeom>
                    <a:ln>
                      <a:noFill/>
                    </a:ln>
                    <a:extLst>
                      <a:ext uri="{53640926-AAD7-44D8-BBD7-CCE9431645EC}">
                        <a14:shadowObscured xmlns:a14="http://schemas.microsoft.com/office/drawing/2010/main"/>
                      </a:ext>
                    </a:extLst>
                  </pic:spPr>
                </pic:pic>
              </a:graphicData>
            </a:graphic>
          </wp:inline>
        </w:drawing>
      </w:r>
    </w:p>
    <w:p w14:paraId="6DA9B94C" w14:textId="77777777" w:rsidR="00EA4BBE" w:rsidRPr="00CB637F" w:rsidRDefault="00EA4BBE" w:rsidP="00EA4BBE">
      <w:pPr>
        <w:jc w:val="center"/>
        <w:rPr>
          <w:bCs/>
          <w:sz w:val="20"/>
          <w:szCs w:val="20"/>
        </w:rPr>
      </w:pPr>
      <w:r w:rsidRPr="00E14CB3">
        <w:rPr>
          <w:b/>
          <w:sz w:val="20"/>
          <w:szCs w:val="20"/>
        </w:rPr>
        <w:t>Figure 6</w:t>
      </w:r>
      <w:r w:rsidRPr="00CB637F">
        <w:rPr>
          <w:bCs/>
          <w:sz w:val="20"/>
          <w:szCs w:val="20"/>
        </w:rPr>
        <w:t>: Reduced dataset variance depending on the number of features, analyzed in the</w:t>
      </w:r>
    </w:p>
    <w:p w14:paraId="23369781" w14:textId="77777777" w:rsidR="00EA4BBE" w:rsidRPr="00CB637F" w:rsidRDefault="00EA4BBE" w:rsidP="00EA4BBE">
      <w:pPr>
        <w:jc w:val="center"/>
        <w:rPr>
          <w:bCs/>
          <w:sz w:val="20"/>
          <w:szCs w:val="20"/>
        </w:rPr>
      </w:pPr>
      <w:r w:rsidRPr="00CB637F">
        <w:rPr>
          <w:bCs/>
          <w:sz w:val="20"/>
          <w:szCs w:val="20"/>
        </w:rPr>
        <w:t>VF subrange</w:t>
      </w:r>
    </w:p>
    <w:p w14:paraId="005EE78A" w14:textId="77777777" w:rsidR="00EA4BBE" w:rsidRPr="007A1CA7" w:rsidRDefault="00EA4BBE" w:rsidP="00EA4BBE">
      <w:pPr>
        <w:pStyle w:val="Default"/>
        <w:rPr>
          <w:color w:val="auto"/>
          <w:sz w:val="20"/>
          <w:szCs w:val="20"/>
          <w:u w:color="1D1F21"/>
          <w:shd w:val="clear" w:color="auto" w:fill="FFFFFF"/>
        </w:rPr>
      </w:pPr>
    </w:p>
    <w:p w14:paraId="03E13944" w14:textId="77777777" w:rsidR="004E5626" w:rsidRPr="00EA4BBE" w:rsidRDefault="004E5626" w:rsidP="004E5626">
      <w:pPr>
        <w:ind w:firstLine="720"/>
        <w:jc w:val="both"/>
        <w:rPr>
          <w:bCs/>
          <w:sz w:val="20"/>
          <w:szCs w:val="20"/>
        </w:rPr>
      </w:pPr>
      <w:r w:rsidRPr="00EA4BBE">
        <w:rPr>
          <w:bCs/>
          <w:sz w:val="20"/>
          <w:szCs w:val="20"/>
        </w:rPr>
        <w:t xml:space="preserve">The neural network is trained for each observed dataset separately, and the number of neural network inputs corresponds to the number of features in the record, apropos the number of measurement points. The results of the analysis are showed in Table 1, classification accuracy is given for the train, validation and test set separately. The duration of training is given as the number of epochs in the training. </w:t>
      </w:r>
    </w:p>
    <w:p w14:paraId="1E7C7110" w14:textId="69B39734" w:rsidR="00EA4BBE" w:rsidRPr="004B22E3" w:rsidRDefault="00EA4BBE" w:rsidP="00EA4BBE">
      <w:pPr>
        <w:pStyle w:val="Default"/>
        <w:ind w:firstLine="720"/>
        <w:rPr>
          <w:rFonts w:ascii="Times New Roman" w:hAnsi="Times New Roman" w:cs="Times New Roman"/>
          <w:color w:val="auto"/>
          <w:sz w:val="20"/>
          <w:szCs w:val="20"/>
          <w:u w:color="1D1F21"/>
          <w:shd w:val="clear" w:color="auto" w:fill="FFFFFF"/>
        </w:rPr>
      </w:pPr>
      <w:r w:rsidRPr="004B22E3">
        <w:rPr>
          <w:rFonts w:ascii="Times New Roman" w:hAnsi="Times New Roman" w:cs="Times New Roman"/>
          <w:color w:val="auto"/>
          <w:sz w:val="20"/>
          <w:szCs w:val="20"/>
          <w:u w:color="1D1F21"/>
          <w:shd w:val="clear" w:color="auto" w:fill="FFFFFF"/>
        </w:rPr>
        <w:t xml:space="preserve">Based on Table 1, it is concluded that our model </w:t>
      </w:r>
      <w:r w:rsidR="00953C04">
        <w:rPr>
          <w:rFonts w:ascii="Times New Roman" w:hAnsi="Times New Roman" w:cs="Times New Roman"/>
          <w:color w:val="auto"/>
          <w:sz w:val="20"/>
          <w:szCs w:val="20"/>
          <w:u w:color="1D1F21"/>
          <w:shd w:val="clear" w:color="auto" w:fill="FFFFFF"/>
        </w:rPr>
        <w:t xml:space="preserve">is accurate enough </w:t>
      </w:r>
      <w:r w:rsidRPr="004B22E3">
        <w:rPr>
          <w:rFonts w:ascii="Times New Roman" w:hAnsi="Times New Roman" w:cs="Times New Roman"/>
          <w:color w:val="auto"/>
          <w:sz w:val="20"/>
          <w:szCs w:val="20"/>
          <w:u w:color="1D1F21"/>
          <w:shd w:val="clear" w:color="auto" w:fill="FFFFFF"/>
        </w:rPr>
        <w:t xml:space="preserve">in microphone classification in all three subranges. The best results for the corresponding subrange are shown in the following table.   </w:t>
      </w:r>
    </w:p>
    <w:p w14:paraId="4EFAED8F" w14:textId="77777777" w:rsidR="00EA4BBE" w:rsidRPr="007A1CA7" w:rsidRDefault="00EA4BBE" w:rsidP="00EA4BBE">
      <w:pPr>
        <w:pStyle w:val="Default"/>
        <w:ind w:firstLine="720"/>
        <w:rPr>
          <w:bCs/>
          <w:color w:val="auto"/>
          <w:sz w:val="20"/>
          <w:szCs w:val="20"/>
          <w:u w:color="1D1F21"/>
          <w:shd w:val="clear" w:color="auto" w:fill="FFFFFF"/>
        </w:rPr>
      </w:pPr>
    </w:p>
    <w:p w14:paraId="0B785E52" w14:textId="35597624" w:rsidR="00EA4BBE" w:rsidRPr="00CB637F" w:rsidRDefault="00EA4BBE" w:rsidP="000B24D5">
      <w:pPr>
        <w:jc w:val="center"/>
        <w:rPr>
          <w:bCs/>
          <w:sz w:val="20"/>
          <w:szCs w:val="20"/>
        </w:rPr>
      </w:pPr>
      <w:r w:rsidRPr="00E14CB3">
        <w:rPr>
          <w:b/>
          <w:sz w:val="20"/>
          <w:szCs w:val="20"/>
        </w:rPr>
        <w:t>Table 1</w:t>
      </w:r>
      <w:r w:rsidRPr="00CB637F">
        <w:rPr>
          <w:bCs/>
          <w:sz w:val="20"/>
          <w:szCs w:val="20"/>
        </w:rPr>
        <w:t>: Model performance for each subrange</w:t>
      </w:r>
    </w:p>
    <w:tbl>
      <w:tblPr>
        <w:tblStyle w:val="TableGrid"/>
        <w:tblW w:w="7225" w:type="dxa"/>
        <w:jc w:val="center"/>
        <w:tblLook w:val="04A0" w:firstRow="1" w:lastRow="0" w:firstColumn="1" w:lastColumn="0" w:noHBand="0" w:noVBand="1"/>
      </w:tblPr>
      <w:tblGrid>
        <w:gridCol w:w="1522"/>
        <w:gridCol w:w="1313"/>
        <w:gridCol w:w="872"/>
        <w:gridCol w:w="2259"/>
        <w:gridCol w:w="1259"/>
      </w:tblGrid>
      <w:tr w:rsidR="00EA4BBE" w:rsidRPr="00CB637F" w14:paraId="7C83969D" w14:textId="77777777" w:rsidTr="000B24D5">
        <w:trPr>
          <w:trHeight w:val="497"/>
          <w:jc w:val="center"/>
        </w:trPr>
        <w:tc>
          <w:tcPr>
            <w:tcW w:w="1543" w:type="dxa"/>
          </w:tcPr>
          <w:p w14:paraId="23C71B53" w14:textId="77777777" w:rsidR="00EA4BBE" w:rsidRPr="00CB637F" w:rsidRDefault="00EA4BBE" w:rsidP="00ED09D4">
            <w:pPr>
              <w:rPr>
                <w:bCs/>
                <w:sz w:val="20"/>
                <w:szCs w:val="20"/>
              </w:rPr>
            </w:pPr>
            <w:r w:rsidRPr="00CB637F">
              <w:rPr>
                <w:bCs/>
                <w:sz w:val="20"/>
                <w:szCs w:val="20"/>
              </w:rPr>
              <w:t>Frequency range</w:t>
            </w:r>
          </w:p>
        </w:tc>
        <w:tc>
          <w:tcPr>
            <w:tcW w:w="1321" w:type="dxa"/>
          </w:tcPr>
          <w:p w14:paraId="28700716" w14:textId="77777777" w:rsidR="00EA4BBE" w:rsidRPr="00CB637F" w:rsidRDefault="00EA4BBE" w:rsidP="00ED09D4">
            <w:pPr>
              <w:rPr>
                <w:bCs/>
                <w:sz w:val="20"/>
                <w:szCs w:val="20"/>
              </w:rPr>
            </w:pPr>
            <w:r w:rsidRPr="00CB637F">
              <w:rPr>
                <w:bCs/>
                <w:sz w:val="20"/>
                <w:szCs w:val="20"/>
              </w:rPr>
              <w:t xml:space="preserve">Retained variance </w:t>
            </w:r>
          </w:p>
        </w:tc>
        <w:tc>
          <w:tcPr>
            <w:tcW w:w="768" w:type="dxa"/>
          </w:tcPr>
          <w:p w14:paraId="6CCC98DA" w14:textId="77777777" w:rsidR="00EA4BBE" w:rsidRPr="00CB637F" w:rsidRDefault="00EA4BBE" w:rsidP="00ED09D4">
            <w:pPr>
              <w:rPr>
                <w:bCs/>
                <w:sz w:val="20"/>
                <w:szCs w:val="20"/>
              </w:rPr>
            </w:pPr>
            <w:r w:rsidRPr="00CB637F">
              <w:rPr>
                <w:bCs/>
                <w:sz w:val="20"/>
                <w:szCs w:val="20"/>
              </w:rPr>
              <w:t>Number of points</w:t>
            </w:r>
          </w:p>
        </w:tc>
        <w:tc>
          <w:tcPr>
            <w:tcW w:w="2317" w:type="dxa"/>
          </w:tcPr>
          <w:p w14:paraId="0010D670" w14:textId="77777777" w:rsidR="00EA4BBE" w:rsidRPr="00CB637F" w:rsidRDefault="00EA4BBE" w:rsidP="00ED09D4">
            <w:pPr>
              <w:rPr>
                <w:bCs/>
                <w:sz w:val="20"/>
                <w:szCs w:val="20"/>
              </w:rPr>
            </w:pPr>
            <w:r w:rsidRPr="00CB637F">
              <w:rPr>
                <w:bCs/>
                <w:sz w:val="20"/>
                <w:szCs w:val="20"/>
              </w:rPr>
              <w:t>Accuracy (train, dev, test)</w:t>
            </w:r>
          </w:p>
        </w:tc>
        <w:tc>
          <w:tcPr>
            <w:tcW w:w="1276" w:type="dxa"/>
          </w:tcPr>
          <w:p w14:paraId="20FF4841" w14:textId="77777777" w:rsidR="00EA4BBE" w:rsidRPr="00CB637F" w:rsidRDefault="00EA4BBE" w:rsidP="00ED09D4">
            <w:pPr>
              <w:rPr>
                <w:bCs/>
                <w:sz w:val="20"/>
                <w:szCs w:val="20"/>
              </w:rPr>
            </w:pPr>
            <w:r w:rsidRPr="00CB637F">
              <w:rPr>
                <w:bCs/>
                <w:sz w:val="20"/>
                <w:szCs w:val="20"/>
              </w:rPr>
              <w:t>Number of epochs</w:t>
            </w:r>
          </w:p>
        </w:tc>
      </w:tr>
      <w:tr w:rsidR="00EA4BBE" w:rsidRPr="00CB637F" w14:paraId="3FAA4EBC" w14:textId="77777777" w:rsidTr="000B24D5">
        <w:trPr>
          <w:trHeight w:val="316"/>
          <w:jc w:val="center"/>
        </w:trPr>
        <w:tc>
          <w:tcPr>
            <w:tcW w:w="1543" w:type="dxa"/>
          </w:tcPr>
          <w:p w14:paraId="5F360AEE" w14:textId="77777777" w:rsidR="00EA4BBE" w:rsidRPr="00CB637F" w:rsidRDefault="00EA4BBE" w:rsidP="00ED09D4">
            <w:pPr>
              <w:jc w:val="center"/>
              <w:rPr>
                <w:bCs/>
                <w:sz w:val="20"/>
                <w:szCs w:val="20"/>
              </w:rPr>
            </w:pPr>
            <w:r w:rsidRPr="00CB637F">
              <w:rPr>
                <w:bCs/>
                <w:sz w:val="20"/>
                <w:szCs w:val="20"/>
              </w:rPr>
              <w:t>20-800 Hz</w:t>
            </w:r>
          </w:p>
        </w:tc>
        <w:tc>
          <w:tcPr>
            <w:tcW w:w="1321" w:type="dxa"/>
          </w:tcPr>
          <w:p w14:paraId="374E3D14" w14:textId="77777777" w:rsidR="00EA4BBE" w:rsidRPr="00CB637F" w:rsidRDefault="00EA4BBE" w:rsidP="00ED09D4">
            <w:pPr>
              <w:jc w:val="center"/>
              <w:rPr>
                <w:bCs/>
                <w:sz w:val="20"/>
                <w:szCs w:val="20"/>
              </w:rPr>
            </w:pPr>
            <w:r w:rsidRPr="00CB637F">
              <w:rPr>
                <w:bCs/>
                <w:sz w:val="20"/>
                <w:szCs w:val="20"/>
              </w:rPr>
              <w:t>99.9054%</w:t>
            </w:r>
          </w:p>
        </w:tc>
        <w:tc>
          <w:tcPr>
            <w:tcW w:w="768" w:type="dxa"/>
          </w:tcPr>
          <w:p w14:paraId="4F8A0254" w14:textId="77777777" w:rsidR="00EA4BBE" w:rsidRPr="00CB637F" w:rsidRDefault="00EA4BBE" w:rsidP="00ED09D4">
            <w:pPr>
              <w:jc w:val="center"/>
              <w:rPr>
                <w:bCs/>
                <w:sz w:val="20"/>
                <w:szCs w:val="20"/>
              </w:rPr>
            </w:pPr>
            <w:r w:rsidRPr="00CB637F">
              <w:rPr>
                <w:bCs/>
                <w:sz w:val="20"/>
                <w:szCs w:val="20"/>
              </w:rPr>
              <w:t>1</w:t>
            </w:r>
          </w:p>
        </w:tc>
        <w:tc>
          <w:tcPr>
            <w:tcW w:w="2317" w:type="dxa"/>
          </w:tcPr>
          <w:p w14:paraId="7C883717" w14:textId="77777777" w:rsidR="00EA4BBE" w:rsidRPr="00CB637F" w:rsidRDefault="00EA4BBE" w:rsidP="00ED09D4">
            <w:pPr>
              <w:jc w:val="center"/>
              <w:rPr>
                <w:bCs/>
                <w:sz w:val="20"/>
                <w:szCs w:val="20"/>
              </w:rPr>
            </w:pPr>
            <w:r w:rsidRPr="00CB637F">
              <w:rPr>
                <w:bCs/>
                <w:sz w:val="20"/>
                <w:szCs w:val="20"/>
              </w:rPr>
              <w:t>99.99%, 99.99%, 99.99%</w:t>
            </w:r>
          </w:p>
        </w:tc>
        <w:tc>
          <w:tcPr>
            <w:tcW w:w="1276" w:type="dxa"/>
          </w:tcPr>
          <w:p w14:paraId="10B660C0" w14:textId="77777777" w:rsidR="00EA4BBE" w:rsidRPr="00CB637F" w:rsidRDefault="00EA4BBE" w:rsidP="00ED09D4">
            <w:pPr>
              <w:jc w:val="center"/>
              <w:rPr>
                <w:bCs/>
                <w:sz w:val="20"/>
                <w:szCs w:val="20"/>
              </w:rPr>
            </w:pPr>
            <w:r w:rsidRPr="00CB637F">
              <w:rPr>
                <w:bCs/>
                <w:sz w:val="20"/>
                <w:szCs w:val="20"/>
              </w:rPr>
              <w:t>100 epochs</w:t>
            </w:r>
          </w:p>
        </w:tc>
      </w:tr>
      <w:tr w:rsidR="00EA4BBE" w:rsidRPr="00CB637F" w14:paraId="0FBDC94A" w14:textId="77777777" w:rsidTr="000B24D5">
        <w:trPr>
          <w:trHeight w:val="337"/>
          <w:jc w:val="center"/>
        </w:trPr>
        <w:tc>
          <w:tcPr>
            <w:tcW w:w="1543" w:type="dxa"/>
          </w:tcPr>
          <w:p w14:paraId="039B69DA" w14:textId="77777777" w:rsidR="00EA4BBE" w:rsidRPr="00CB637F" w:rsidRDefault="00EA4BBE" w:rsidP="00ED09D4">
            <w:pPr>
              <w:jc w:val="center"/>
              <w:rPr>
                <w:bCs/>
                <w:sz w:val="20"/>
                <w:szCs w:val="20"/>
              </w:rPr>
            </w:pPr>
            <w:r w:rsidRPr="00CB637F">
              <w:rPr>
                <w:bCs/>
                <w:sz w:val="20"/>
                <w:szCs w:val="20"/>
              </w:rPr>
              <w:t>800-2000 Hz</w:t>
            </w:r>
          </w:p>
        </w:tc>
        <w:tc>
          <w:tcPr>
            <w:tcW w:w="1321" w:type="dxa"/>
          </w:tcPr>
          <w:p w14:paraId="7C3884B7" w14:textId="77777777" w:rsidR="00EA4BBE" w:rsidRPr="00CB637F" w:rsidRDefault="00EA4BBE" w:rsidP="00ED09D4">
            <w:pPr>
              <w:jc w:val="center"/>
              <w:rPr>
                <w:bCs/>
                <w:sz w:val="20"/>
                <w:szCs w:val="20"/>
              </w:rPr>
            </w:pPr>
            <w:r w:rsidRPr="00CB637F">
              <w:rPr>
                <w:bCs/>
                <w:sz w:val="20"/>
                <w:szCs w:val="20"/>
              </w:rPr>
              <w:t>99.9889%</w:t>
            </w:r>
          </w:p>
        </w:tc>
        <w:tc>
          <w:tcPr>
            <w:tcW w:w="768" w:type="dxa"/>
          </w:tcPr>
          <w:p w14:paraId="1F486D59" w14:textId="77777777" w:rsidR="00EA4BBE" w:rsidRPr="00CB637F" w:rsidRDefault="00EA4BBE" w:rsidP="00ED09D4">
            <w:pPr>
              <w:jc w:val="center"/>
              <w:rPr>
                <w:bCs/>
                <w:sz w:val="20"/>
                <w:szCs w:val="20"/>
              </w:rPr>
            </w:pPr>
            <w:r w:rsidRPr="00CB637F">
              <w:rPr>
                <w:bCs/>
                <w:sz w:val="20"/>
                <w:szCs w:val="20"/>
              </w:rPr>
              <w:t>1</w:t>
            </w:r>
          </w:p>
        </w:tc>
        <w:tc>
          <w:tcPr>
            <w:tcW w:w="2317" w:type="dxa"/>
          </w:tcPr>
          <w:p w14:paraId="3897B564" w14:textId="77777777" w:rsidR="00EA4BBE" w:rsidRPr="00CB637F" w:rsidRDefault="00EA4BBE" w:rsidP="00ED09D4">
            <w:pPr>
              <w:jc w:val="center"/>
              <w:rPr>
                <w:bCs/>
                <w:sz w:val="20"/>
                <w:szCs w:val="20"/>
              </w:rPr>
            </w:pPr>
            <w:r w:rsidRPr="00CB637F">
              <w:rPr>
                <w:bCs/>
                <w:sz w:val="20"/>
                <w:szCs w:val="20"/>
              </w:rPr>
              <w:t>98.09%, 98.06%, 98.31%</w:t>
            </w:r>
          </w:p>
        </w:tc>
        <w:tc>
          <w:tcPr>
            <w:tcW w:w="1276" w:type="dxa"/>
          </w:tcPr>
          <w:p w14:paraId="2F1690CD" w14:textId="77777777" w:rsidR="00EA4BBE" w:rsidRPr="00CB637F" w:rsidRDefault="00EA4BBE" w:rsidP="00ED09D4">
            <w:pPr>
              <w:jc w:val="center"/>
              <w:rPr>
                <w:bCs/>
                <w:sz w:val="20"/>
                <w:szCs w:val="20"/>
              </w:rPr>
            </w:pPr>
            <w:r w:rsidRPr="00CB637F">
              <w:rPr>
                <w:bCs/>
                <w:sz w:val="20"/>
                <w:szCs w:val="20"/>
              </w:rPr>
              <w:t>3000 epochs</w:t>
            </w:r>
          </w:p>
        </w:tc>
      </w:tr>
      <w:tr w:rsidR="00EA4BBE" w:rsidRPr="00CB637F" w14:paraId="2D52086F" w14:textId="77777777" w:rsidTr="000B24D5">
        <w:trPr>
          <w:trHeight w:val="337"/>
          <w:jc w:val="center"/>
        </w:trPr>
        <w:tc>
          <w:tcPr>
            <w:tcW w:w="1543" w:type="dxa"/>
          </w:tcPr>
          <w:p w14:paraId="7EDFD3ED" w14:textId="77777777" w:rsidR="00EA4BBE" w:rsidRPr="00CB637F" w:rsidRDefault="00EA4BBE" w:rsidP="00ED09D4">
            <w:pPr>
              <w:jc w:val="center"/>
              <w:rPr>
                <w:bCs/>
                <w:sz w:val="20"/>
                <w:szCs w:val="20"/>
              </w:rPr>
            </w:pPr>
            <w:r w:rsidRPr="00CB637F">
              <w:rPr>
                <w:bCs/>
                <w:sz w:val="20"/>
                <w:szCs w:val="20"/>
              </w:rPr>
              <w:t>800-2000 Hz</w:t>
            </w:r>
          </w:p>
        </w:tc>
        <w:tc>
          <w:tcPr>
            <w:tcW w:w="1321" w:type="dxa"/>
          </w:tcPr>
          <w:p w14:paraId="6BD22634" w14:textId="77777777" w:rsidR="00EA4BBE" w:rsidRPr="00CB637F" w:rsidRDefault="00EA4BBE" w:rsidP="00ED09D4">
            <w:pPr>
              <w:jc w:val="center"/>
              <w:rPr>
                <w:bCs/>
                <w:sz w:val="20"/>
                <w:szCs w:val="20"/>
              </w:rPr>
            </w:pPr>
            <w:r w:rsidRPr="00CB637F">
              <w:rPr>
                <w:bCs/>
                <w:sz w:val="20"/>
                <w:szCs w:val="20"/>
              </w:rPr>
              <w:t>99.99997%</w:t>
            </w:r>
          </w:p>
        </w:tc>
        <w:tc>
          <w:tcPr>
            <w:tcW w:w="768" w:type="dxa"/>
          </w:tcPr>
          <w:p w14:paraId="78108383" w14:textId="77777777" w:rsidR="00EA4BBE" w:rsidRPr="00CB637F" w:rsidRDefault="00EA4BBE" w:rsidP="00ED09D4">
            <w:pPr>
              <w:jc w:val="center"/>
              <w:rPr>
                <w:bCs/>
                <w:sz w:val="20"/>
                <w:szCs w:val="20"/>
              </w:rPr>
            </w:pPr>
            <w:r w:rsidRPr="00CB637F">
              <w:rPr>
                <w:bCs/>
                <w:sz w:val="20"/>
                <w:szCs w:val="20"/>
              </w:rPr>
              <w:t>2</w:t>
            </w:r>
          </w:p>
        </w:tc>
        <w:tc>
          <w:tcPr>
            <w:tcW w:w="2317" w:type="dxa"/>
          </w:tcPr>
          <w:p w14:paraId="2C9224B6" w14:textId="77777777" w:rsidR="00EA4BBE" w:rsidRPr="00CB637F" w:rsidRDefault="00EA4BBE" w:rsidP="00ED09D4">
            <w:pPr>
              <w:jc w:val="center"/>
              <w:rPr>
                <w:bCs/>
                <w:sz w:val="20"/>
                <w:szCs w:val="20"/>
              </w:rPr>
            </w:pPr>
            <w:r w:rsidRPr="00CB637F">
              <w:rPr>
                <w:bCs/>
                <w:sz w:val="20"/>
                <w:szCs w:val="20"/>
              </w:rPr>
              <w:t>99.99%, 99.99%, 99.99%</w:t>
            </w:r>
          </w:p>
        </w:tc>
        <w:tc>
          <w:tcPr>
            <w:tcW w:w="1276" w:type="dxa"/>
          </w:tcPr>
          <w:p w14:paraId="7D973826" w14:textId="77777777" w:rsidR="00EA4BBE" w:rsidRPr="00CB637F" w:rsidRDefault="00EA4BBE" w:rsidP="00ED09D4">
            <w:pPr>
              <w:jc w:val="center"/>
              <w:rPr>
                <w:bCs/>
                <w:sz w:val="20"/>
                <w:szCs w:val="20"/>
              </w:rPr>
            </w:pPr>
            <w:r w:rsidRPr="00CB637F">
              <w:rPr>
                <w:bCs/>
                <w:sz w:val="20"/>
                <w:szCs w:val="20"/>
              </w:rPr>
              <w:t>100 epochs</w:t>
            </w:r>
          </w:p>
        </w:tc>
      </w:tr>
      <w:tr w:rsidR="00EA4BBE" w:rsidRPr="00CB637F" w14:paraId="7260CEE6" w14:textId="77777777" w:rsidTr="000B24D5">
        <w:trPr>
          <w:trHeight w:val="316"/>
          <w:jc w:val="center"/>
        </w:trPr>
        <w:tc>
          <w:tcPr>
            <w:tcW w:w="1543" w:type="dxa"/>
          </w:tcPr>
          <w:p w14:paraId="3F1A6344" w14:textId="77777777" w:rsidR="00EA4BBE" w:rsidRPr="00CB637F" w:rsidRDefault="00EA4BBE" w:rsidP="00ED09D4">
            <w:pPr>
              <w:jc w:val="center"/>
              <w:rPr>
                <w:bCs/>
                <w:sz w:val="20"/>
                <w:szCs w:val="20"/>
              </w:rPr>
            </w:pPr>
            <w:r w:rsidRPr="00CB637F">
              <w:rPr>
                <w:bCs/>
                <w:sz w:val="20"/>
                <w:szCs w:val="20"/>
              </w:rPr>
              <w:t>2000-20000 Hz</w:t>
            </w:r>
          </w:p>
        </w:tc>
        <w:tc>
          <w:tcPr>
            <w:tcW w:w="1321" w:type="dxa"/>
          </w:tcPr>
          <w:p w14:paraId="725EF27B" w14:textId="77777777" w:rsidR="00EA4BBE" w:rsidRPr="00CB637F" w:rsidRDefault="00EA4BBE" w:rsidP="00ED09D4">
            <w:pPr>
              <w:jc w:val="center"/>
              <w:rPr>
                <w:bCs/>
                <w:sz w:val="20"/>
                <w:szCs w:val="20"/>
              </w:rPr>
            </w:pPr>
            <w:r w:rsidRPr="00CB637F">
              <w:rPr>
                <w:bCs/>
                <w:sz w:val="20"/>
                <w:szCs w:val="20"/>
              </w:rPr>
              <w:t>90.226%</w:t>
            </w:r>
          </w:p>
        </w:tc>
        <w:tc>
          <w:tcPr>
            <w:tcW w:w="768" w:type="dxa"/>
          </w:tcPr>
          <w:p w14:paraId="3F893D2A" w14:textId="77777777" w:rsidR="00EA4BBE" w:rsidRPr="00CB637F" w:rsidRDefault="00EA4BBE" w:rsidP="00ED09D4">
            <w:pPr>
              <w:jc w:val="center"/>
              <w:rPr>
                <w:bCs/>
                <w:sz w:val="20"/>
                <w:szCs w:val="20"/>
              </w:rPr>
            </w:pPr>
            <w:r w:rsidRPr="00CB637F">
              <w:rPr>
                <w:bCs/>
                <w:sz w:val="20"/>
                <w:szCs w:val="20"/>
              </w:rPr>
              <w:t>2</w:t>
            </w:r>
          </w:p>
        </w:tc>
        <w:tc>
          <w:tcPr>
            <w:tcW w:w="2317" w:type="dxa"/>
          </w:tcPr>
          <w:p w14:paraId="0EFC3E11" w14:textId="77777777" w:rsidR="00EA4BBE" w:rsidRPr="00CB637F" w:rsidRDefault="00EA4BBE" w:rsidP="00ED09D4">
            <w:pPr>
              <w:jc w:val="center"/>
              <w:rPr>
                <w:bCs/>
                <w:sz w:val="20"/>
                <w:szCs w:val="20"/>
              </w:rPr>
            </w:pPr>
            <w:r w:rsidRPr="00CB637F">
              <w:rPr>
                <w:bCs/>
                <w:sz w:val="20"/>
                <w:szCs w:val="20"/>
              </w:rPr>
              <w:t>67.44%, 67.5%, 66.5%</w:t>
            </w:r>
          </w:p>
        </w:tc>
        <w:tc>
          <w:tcPr>
            <w:tcW w:w="1276" w:type="dxa"/>
          </w:tcPr>
          <w:p w14:paraId="7DE5C26D" w14:textId="77777777" w:rsidR="00EA4BBE" w:rsidRPr="00CB637F" w:rsidRDefault="00EA4BBE" w:rsidP="00ED09D4">
            <w:pPr>
              <w:jc w:val="center"/>
              <w:rPr>
                <w:bCs/>
                <w:sz w:val="20"/>
                <w:szCs w:val="20"/>
              </w:rPr>
            </w:pPr>
            <w:r w:rsidRPr="00CB637F">
              <w:rPr>
                <w:bCs/>
                <w:sz w:val="20"/>
                <w:szCs w:val="20"/>
              </w:rPr>
              <w:t>3000 epochs</w:t>
            </w:r>
          </w:p>
        </w:tc>
      </w:tr>
      <w:tr w:rsidR="00EA4BBE" w:rsidRPr="00CB637F" w14:paraId="3839CF78" w14:textId="77777777" w:rsidTr="000B24D5">
        <w:trPr>
          <w:trHeight w:val="316"/>
          <w:jc w:val="center"/>
        </w:trPr>
        <w:tc>
          <w:tcPr>
            <w:tcW w:w="1543" w:type="dxa"/>
          </w:tcPr>
          <w:p w14:paraId="06EE3EC6" w14:textId="77777777" w:rsidR="00EA4BBE" w:rsidRPr="00CB637F" w:rsidRDefault="00EA4BBE" w:rsidP="00ED09D4">
            <w:pPr>
              <w:jc w:val="center"/>
              <w:rPr>
                <w:bCs/>
                <w:sz w:val="20"/>
                <w:szCs w:val="20"/>
              </w:rPr>
            </w:pPr>
            <w:r w:rsidRPr="00CB637F">
              <w:rPr>
                <w:bCs/>
                <w:sz w:val="20"/>
                <w:szCs w:val="20"/>
              </w:rPr>
              <w:t>2000-20000 Hz</w:t>
            </w:r>
          </w:p>
        </w:tc>
        <w:tc>
          <w:tcPr>
            <w:tcW w:w="1321" w:type="dxa"/>
          </w:tcPr>
          <w:p w14:paraId="7CEAF716" w14:textId="77777777" w:rsidR="00EA4BBE" w:rsidRPr="00CB637F" w:rsidRDefault="00EA4BBE" w:rsidP="00ED09D4">
            <w:pPr>
              <w:jc w:val="center"/>
              <w:rPr>
                <w:bCs/>
                <w:sz w:val="20"/>
                <w:szCs w:val="20"/>
              </w:rPr>
            </w:pPr>
            <w:r w:rsidRPr="00CB637F">
              <w:rPr>
                <w:bCs/>
                <w:sz w:val="20"/>
                <w:szCs w:val="20"/>
              </w:rPr>
              <w:t>95.3064%</w:t>
            </w:r>
          </w:p>
        </w:tc>
        <w:tc>
          <w:tcPr>
            <w:tcW w:w="768" w:type="dxa"/>
          </w:tcPr>
          <w:p w14:paraId="5D15F9EE" w14:textId="77777777" w:rsidR="00EA4BBE" w:rsidRPr="00CB637F" w:rsidRDefault="00EA4BBE" w:rsidP="00ED09D4">
            <w:pPr>
              <w:jc w:val="center"/>
              <w:rPr>
                <w:bCs/>
                <w:sz w:val="20"/>
                <w:szCs w:val="20"/>
              </w:rPr>
            </w:pPr>
            <w:r w:rsidRPr="00CB637F">
              <w:rPr>
                <w:bCs/>
                <w:sz w:val="20"/>
                <w:szCs w:val="20"/>
              </w:rPr>
              <w:t>3</w:t>
            </w:r>
          </w:p>
        </w:tc>
        <w:tc>
          <w:tcPr>
            <w:tcW w:w="2317" w:type="dxa"/>
          </w:tcPr>
          <w:p w14:paraId="2F2211E1" w14:textId="77777777" w:rsidR="00EA4BBE" w:rsidRPr="00CB637F" w:rsidRDefault="00EA4BBE" w:rsidP="00ED09D4">
            <w:pPr>
              <w:jc w:val="center"/>
              <w:rPr>
                <w:bCs/>
                <w:sz w:val="20"/>
                <w:szCs w:val="20"/>
              </w:rPr>
            </w:pPr>
            <w:r w:rsidRPr="00CB637F">
              <w:rPr>
                <w:bCs/>
                <w:sz w:val="20"/>
                <w:szCs w:val="20"/>
              </w:rPr>
              <w:t>99.91%, 99.87%, 99.93%</w:t>
            </w:r>
          </w:p>
        </w:tc>
        <w:tc>
          <w:tcPr>
            <w:tcW w:w="1276" w:type="dxa"/>
          </w:tcPr>
          <w:p w14:paraId="4914A63A" w14:textId="77777777" w:rsidR="00EA4BBE" w:rsidRPr="00CB637F" w:rsidRDefault="00EA4BBE" w:rsidP="00ED09D4">
            <w:pPr>
              <w:jc w:val="center"/>
              <w:rPr>
                <w:bCs/>
                <w:sz w:val="20"/>
                <w:szCs w:val="20"/>
              </w:rPr>
            </w:pPr>
            <w:r w:rsidRPr="00CB637F">
              <w:rPr>
                <w:bCs/>
                <w:sz w:val="20"/>
                <w:szCs w:val="20"/>
              </w:rPr>
              <w:t>3000 epochs</w:t>
            </w:r>
          </w:p>
        </w:tc>
      </w:tr>
    </w:tbl>
    <w:p w14:paraId="1CD9049D" w14:textId="77777777" w:rsidR="00EA4BBE" w:rsidRPr="00CB637F" w:rsidRDefault="00EA4BBE" w:rsidP="00EA4BBE">
      <w:pPr>
        <w:pStyle w:val="Default"/>
        <w:ind w:firstLine="720"/>
        <w:rPr>
          <w:color w:val="auto"/>
          <w:sz w:val="20"/>
          <w:szCs w:val="20"/>
          <w:u w:color="1D1F21"/>
          <w:shd w:val="clear" w:color="auto" w:fill="FFFFFF"/>
        </w:rPr>
      </w:pPr>
    </w:p>
    <w:p w14:paraId="4C92C297" w14:textId="77777777" w:rsidR="00EA4BBE" w:rsidRPr="004B22E3" w:rsidRDefault="00EA4BBE" w:rsidP="00EA4BBE">
      <w:pPr>
        <w:pStyle w:val="Default"/>
        <w:ind w:firstLine="720"/>
        <w:rPr>
          <w:rFonts w:ascii="Times New Roman" w:hAnsi="Times New Roman" w:cs="Times New Roman"/>
          <w:color w:val="auto"/>
          <w:sz w:val="20"/>
          <w:szCs w:val="20"/>
          <w:u w:color="1D1F21"/>
          <w:shd w:val="clear" w:color="auto" w:fill="FFFFFF"/>
        </w:rPr>
      </w:pPr>
      <w:r w:rsidRPr="004B22E3">
        <w:rPr>
          <w:rFonts w:ascii="Times New Roman" w:hAnsi="Times New Roman" w:cs="Times New Roman"/>
          <w:color w:val="auto"/>
          <w:sz w:val="20"/>
          <w:szCs w:val="20"/>
          <w:u w:color="1D1F21"/>
          <w:shd w:val="clear" w:color="auto" w:fill="FFFFFF"/>
        </w:rPr>
        <w:t>The model is trained to classify microphones in the NF subrange with only one measurement point in high accuracy. Training time is very short, just a few minutes or if we measure time in epochs, it lasted 100 epochs. Such a good classification model performance proves that microphone characteristics at this subrange are reliable. That reliability was the basis for the model to train weights, which are used for very precise</w:t>
      </w:r>
      <w:r w:rsidRPr="007A1CA7">
        <w:rPr>
          <w:color w:val="auto"/>
          <w:sz w:val="20"/>
          <w:szCs w:val="20"/>
          <w:u w:color="1D1F21"/>
          <w:shd w:val="clear" w:color="auto" w:fill="FFFFFF"/>
        </w:rPr>
        <w:t xml:space="preserve"> </w:t>
      </w:r>
      <w:r w:rsidRPr="004B22E3">
        <w:rPr>
          <w:rFonts w:ascii="Times New Roman" w:hAnsi="Times New Roman" w:cs="Times New Roman"/>
          <w:color w:val="auto"/>
          <w:sz w:val="20"/>
          <w:szCs w:val="20"/>
          <w:u w:color="1D1F21"/>
          <w:shd w:val="clear" w:color="auto" w:fill="FFFFFF"/>
        </w:rPr>
        <w:t>microphone type prediction for the</w:t>
      </w:r>
      <w:r w:rsidRPr="007A1CA7">
        <w:rPr>
          <w:color w:val="auto"/>
          <w:sz w:val="20"/>
          <w:szCs w:val="20"/>
          <w:u w:color="1D1F21"/>
          <w:shd w:val="clear" w:color="auto" w:fill="FFFFFF"/>
        </w:rPr>
        <w:t xml:space="preserve"> </w:t>
      </w:r>
      <w:r w:rsidRPr="004B22E3">
        <w:rPr>
          <w:rFonts w:ascii="Times New Roman" w:hAnsi="Times New Roman" w:cs="Times New Roman"/>
          <w:color w:val="auto"/>
          <w:sz w:val="20"/>
          <w:szCs w:val="20"/>
          <w:u w:color="1D1F21"/>
          <w:shd w:val="clear" w:color="auto" w:fill="FFFFFF"/>
        </w:rPr>
        <w:t xml:space="preserve">suggested </w:t>
      </w:r>
      <w:r w:rsidRPr="004B22E3">
        <w:rPr>
          <w:rFonts w:ascii="Times New Roman" w:hAnsi="Times New Roman" w:cs="Times New Roman"/>
          <w:color w:val="auto"/>
          <w:sz w:val="20"/>
          <w:szCs w:val="20"/>
          <w:u w:color="1D1F21"/>
          <w:shd w:val="clear" w:color="auto" w:fill="FFFFFF"/>
        </w:rPr>
        <w:lastRenderedPageBreak/>
        <w:t>three. This conclusion fully corresponds to the current knowledge about microphone behavior in the NF subrange – in the NF subrange, RC microphone characteristics are dominant. Those characteristics are strictly defined and do not depend on experimental conditions.</w:t>
      </w:r>
    </w:p>
    <w:p w14:paraId="3540069A" w14:textId="77777777" w:rsidR="00EA4BBE" w:rsidRPr="004B22E3" w:rsidRDefault="00EA4BBE" w:rsidP="00EA4BBE">
      <w:pPr>
        <w:pStyle w:val="Default"/>
        <w:ind w:firstLine="720"/>
        <w:rPr>
          <w:rFonts w:ascii="Times New Roman" w:hAnsi="Times New Roman" w:cs="Times New Roman"/>
          <w:color w:val="auto"/>
          <w:sz w:val="20"/>
          <w:szCs w:val="20"/>
          <w:u w:color="1D1F21"/>
          <w:shd w:val="clear" w:color="auto" w:fill="FFFFFF"/>
        </w:rPr>
      </w:pPr>
      <w:r w:rsidRPr="004B22E3">
        <w:rPr>
          <w:rFonts w:ascii="Times New Roman" w:hAnsi="Times New Roman" w:cs="Times New Roman"/>
          <w:color w:val="auto"/>
          <w:sz w:val="20"/>
          <w:szCs w:val="20"/>
          <w:u w:color="1D1F21"/>
          <w:shd w:val="clear" w:color="auto" w:fill="FFFFFF"/>
        </w:rPr>
        <w:t>The situation is a little bit different in the flat subrange, the model is less accurate with one measurement point than the model in the NF subrange with one point, but still, it is a good result. The training lasted longer than the training in the NF subrange under the same conditions. It can be concluded that microphone parameters are less reliable in this subrange than in the NF subrange. The reliability of the microphone parameters decreases with increasing frequency. The gained NF subrange model accuracy will be achieved in the VF subrange with three measurement points and with 3000 training epochs. This result points to the least reliability of microphone parameters in this subrange. This conclusion obtained from the presented model results corresponds to the theoretical facts too, that the microphone acoustic response is dominant in this frequency subrange, that its parameters are very unstable because of their dependence on microphone geometry as well as on the experimental conditions</w:t>
      </w:r>
      <w:r w:rsidRPr="004B22E3">
        <w:rPr>
          <w:rFonts w:ascii="Times New Roman" w:hAnsi="Times New Roman" w:cs="Times New Roman"/>
          <w:color w:val="auto"/>
          <w:sz w:val="20"/>
          <w:szCs w:val="20"/>
          <w:u w:color="1D1F21"/>
          <w:shd w:val="clear" w:color="auto" w:fill="FFFFFF"/>
        </w:rPr>
        <w:fldChar w:fldCharType="begin" w:fldLock="1"/>
      </w:r>
      <w:r w:rsidRPr="004B22E3">
        <w:rPr>
          <w:rFonts w:ascii="Times New Roman" w:hAnsi="Times New Roman" w:cs="Times New Roman"/>
          <w:color w:val="auto"/>
          <w:sz w:val="20"/>
          <w:szCs w:val="20"/>
          <w:u w:color="1D1F21"/>
          <w:shd w:val="clear" w:color="auto" w:fill="FFFFFF"/>
        </w:rPr>
        <w:instrText>ADDIN CSL_CITATION {"citationItems":[{"id":"ITEM-1","itemData":{"abstract":"We have developed a low-cost, portable photoacoustic instrument. The device consists of a detection unit comprising a photoacoustic cell with an embedded laser diode or a light-emitting diode, a photodiode, an electret microphone (60 × 40 × 40 mm 3 ), and a signal processing and power supply unit in a box containing batteries and electronics (160 × 140 × 60 mm 3 ). A PC or portable computer is required to operate the device and for data processing. The weight of the instrument without the computer is 1.70 kg. The computer, or more precisely, its sound card is the essential part of the apparatus because it generates the signal for the laser diode or light-emitting diode modulation and processes signals from the microphone and photodiode. The computer sound card is used as a dual-phase lock-in amplifier. The software used for the control of the setup was also developed in course of this work. The photoacoustic instrument presented here allows measurements and quantitative analysis of numerous solid-state samples. It is simple in design and use, having a reasonable weight and portability.","author":[{"dropping-particle":"","family":"Rabasovic","given":"M D","non-dropping-particle":"","parse-names":false,"suffix":""},{"dropping-particle":"","family":"Nikolic","given":"M G","non-dropping-particle":"","parse-names":false,"suffix":""},{"dropping-particle":"","family":"Dramicanin","given":"M D","non-dropping-particle":"","parse-names":false,"suffix":""},{"dropping-particle":"","family":"Franko","given":"Mladen","non-dropping-particle":"","parse-names":false,"suffix":""},{"dropping-particle":"","family":"Markushev","given":"D D","non-dropping-particle":"","parse-names":false,"suffix":""}],"container-title":"Measurement Science and Technology","id":"ITEM-1","issue":"9","issued":{"date-parts":[["2009"]]},"page":"95902","title":"Low-cost, portable photoacoustic setup for solid samples","type":"article-journal","volume":"20"},"uris":["http://www.mendeley.com/documents/?uuid=e37171e0-17c8-3374-b152-79b56e9d87fd"]}],"mendeley":{"formattedCitation":"[21]","plainTextFormattedCitation":"[21]","previouslyFormattedCitation":"[21]"},"properties":{"noteIndex":0},"schema":"https://github.com/citation-style-language/schema/raw/master/csl-citation.json"}</w:instrText>
      </w:r>
      <w:r w:rsidRPr="004B22E3">
        <w:rPr>
          <w:rFonts w:ascii="Times New Roman" w:hAnsi="Times New Roman" w:cs="Times New Roman"/>
          <w:color w:val="auto"/>
          <w:sz w:val="20"/>
          <w:szCs w:val="20"/>
          <w:u w:color="1D1F21"/>
          <w:shd w:val="clear" w:color="auto" w:fill="FFFFFF"/>
        </w:rPr>
        <w:fldChar w:fldCharType="separate"/>
      </w:r>
      <w:r w:rsidRPr="004B22E3">
        <w:rPr>
          <w:rFonts w:ascii="Times New Roman" w:hAnsi="Times New Roman" w:cs="Times New Roman"/>
          <w:noProof/>
          <w:color w:val="auto"/>
          <w:sz w:val="20"/>
          <w:szCs w:val="20"/>
          <w:u w:color="1D1F21"/>
          <w:shd w:val="clear" w:color="auto" w:fill="FFFFFF"/>
        </w:rPr>
        <w:t>[21]</w:t>
      </w:r>
      <w:r w:rsidRPr="004B22E3">
        <w:rPr>
          <w:rFonts w:ascii="Times New Roman" w:hAnsi="Times New Roman" w:cs="Times New Roman"/>
          <w:color w:val="auto"/>
          <w:sz w:val="20"/>
          <w:szCs w:val="20"/>
          <w:u w:color="1D1F21"/>
          <w:shd w:val="clear" w:color="auto" w:fill="FFFFFF"/>
        </w:rPr>
        <w:fldChar w:fldCharType="end"/>
      </w:r>
      <w:r w:rsidRPr="004B22E3">
        <w:rPr>
          <w:rFonts w:ascii="Times New Roman" w:hAnsi="Times New Roman" w:cs="Times New Roman"/>
          <w:color w:val="auto"/>
          <w:sz w:val="20"/>
          <w:szCs w:val="20"/>
          <w:u w:color="1D1F21"/>
        </w:rPr>
        <w:t>.</w:t>
      </w:r>
    </w:p>
    <w:p w14:paraId="7B12EAA4" w14:textId="77777777" w:rsidR="00FA1872" w:rsidRDefault="00FA1872">
      <w:pPr>
        <w:pStyle w:val="BodyA"/>
        <w:spacing w:line="276" w:lineRule="auto"/>
      </w:pPr>
    </w:p>
    <w:p w14:paraId="1FC09735" w14:textId="77777777" w:rsidR="00FA1872" w:rsidRDefault="00D2134A">
      <w:pPr>
        <w:pStyle w:val="BodyA"/>
      </w:pPr>
      <w:r>
        <w:rPr>
          <w:b/>
          <w:bCs/>
          <w:sz w:val="22"/>
          <w:szCs w:val="22"/>
        </w:rPr>
        <w:t>5. CONCLUSION</w:t>
      </w:r>
    </w:p>
    <w:p w14:paraId="3A758905" w14:textId="77777777" w:rsidR="00FA1872" w:rsidRDefault="00FA1872">
      <w:pPr>
        <w:pStyle w:val="BodyA"/>
      </w:pPr>
    </w:p>
    <w:p w14:paraId="28720A2A" w14:textId="77777777" w:rsidR="00CB637F" w:rsidRPr="00CB637F" w:rsidRDefault="00CB637F" w:rsidP="00CB637F">
      <w:pPr>
        <w:pStyle w:val="Default"/>
        <w:ind w:firstLine="720"/>
        <w:rPr>
          <w:rFonts w:ascii="Times New Roman" w:hAnsi="Times New Roman" w:cs="Times New Roman"/>
          <w:color w:val="auto"/>
          <w:sz w:val="20"/>
          <w:szCs w:val="20"/>
          <w:u w:color="1D1F21"/>
          <w:shd w:val="clear" w:color="auto" w:fill="FFFFFF"/>
        </w:rPr>
      </w:pPr>
      <w:r w:rsidRPr="00CB637F">
        <w:rPr>
          <w:rFonts w:ascii="Times New Roman" w:hAnsi="Times New Roman" w:cs="Times New Roman"/>
          <w:color w:val="auto"/>
          <w:sz w:val="20"/>
          <w:szCs w:val="20"/>
          <w:u w:color="1D1F21"/>
          <w:shd w:val="clear" w:color="auto" w:fill="FFFFFF"/>
        </w:rPr>
        <w:t xml:space="preserve">This paper presents a microphone classification model built using computational intelligence algorithms and expert knowledge. The goal of this research was not the classification of a sequence of microphones, but principally the presentation of a new classification model. The database of simulated experimental data is related to three types of electret microphones, which are commonly used in PA in a frequency range of 20Hz to 20KHz. The classification model could be easily extended to recognize more microphone types if such experimental requirements exist. </w:t>
      </w:r>
    </w:p>
    <w:p w14:paraId="39FCB44A" w14:textId="77777777" w:rsidR="00CB637F" w:rsidRPr="00CB637F" w:rsidRDefault="00CB637F" w:rsidP="00CB637F">
      <w:pPr>
        <w:pStyle w:val="Default"/>
        <w:ind w:firstLine="720"/>
        <w:rPr>
          <w:rFonts w:ascii="Times New Roman" w:hAnsi="Times New Roman" w:cs="Times New Roman"/>
          <w:color w:val="auto"/>
          <w:sz w:val="20"/>
          <w:szCs w:val="20"/>
          <w:u w:color="1D1F21"/>
          <w:shd w:val="clear" w:color="auto" w:fill="FFFFFF"/>
        </w:rPr>
      </w:pPr>
      <w:r w:rsidRPr="00CB637F">
        <w:rPr>
          <w:rFonts w:ascii="Times New Roman" w:hAnsi="Times New Roman" w:cs="Times New Roman"/>
          <w:color w:val="auto"/>
          <w:sz w:val="20"/>
          <w:szCs w:val="20"/>
          <w:u w:color="1D1F21"/>
          <w:shd w:val="clear" w:color="auto" w:fill="FFFFFF"/>
        </w:rPr>
        <w:t xml:space="preserve">The analysis was performed in three subranges: NF (20-800Hz), flat (800-2000Hz) and VF (2000-20000Hz), because of the difference in microphone behavior in those three segments by expert opinion. This different behavior has been proven by the difference in the performance results of the presented classification model.   </w:t>
      </w:r>
    </w:p>
    <w:p w14:paraId="2E9D5C37" w14:textId="2C607FB8" w:rsidR="00CB637F" w:rsidRPr="00CB637F" w:rsidRDefault="00CB637F" w:rsidP="00CB637F">
      <w:pPr>
        <w:pStyle w:val="Default"/>
        <w:ind w:firstLine="720"/>
        <w:rPr>
          <w:rFonts w:ascii="Times New Roman" w:hAnsi="Times New Roman" w:cs="Times New Roman"/>
          <w:color w:val="auto"/>
          <w:sz w:val="20"/>
          <w:szCs w:val="20"/>
          <w:u w:color="1D1F21"/>
          <w:shd w:val="clear" w:color="auto" w:fill="FFFFFF"/>
        </w:rPr>
      </w:pPr>
      <w:r w:rsidRPr="00CB637F">
        <w:rPr>
          <w:rFonts w:ascii="Times New Roman" w:hAnsi="Times New Roman" w:cs="Times New Roman"/>
          <w:color w:val="auto"/>
          <w:sz w:val="20"/>
          <w:szCs w:val="20"/>
          <w:u w:color="1D1F21"/>
          <w:shd w:val="clear" w:color="auto" w:fill="FFFFFF"/>
        </w:rPr>
        <w:t xml:space="preserve">The model has satisfactory accuracy, with a maximum accuracy of 99.99% in the NF subrange. It works in real-time mode. </w:t>
      </w:r>
    </w:p>
    <w:p w14:paraId="65E781F2" w14:textId="0D10881E" w:rsidR="00CB637F" w:rsidRPr="00CB637F" w:rsidRDefault="00CB637F" w:rsidP="00CB637F">
      <w:pPr>
        <w:pStyle w:val="Default"/>
        <w:ind w:firstLine="720"/>
        <w:rPr>
          <w:rFonts w:ascii="Times New Roman" w:hAnsi="Times New Roman" w:cs="Times New Roman"/>
          <w:color w:val="auto"/>
          <w:sz w:val="20"/>
          <w:szCs w:val="20"/>
          <w:u w:color="1D1F21"/>
          <w:shd w:val="clear" w:color="auto" w:fill="FFFFFF"/>
        </w:rPr>
      </w:pPr>
      <w:r w:rsidRPr="00CB637F">
        <w:rPr>
          <w:rFonts w:ascii="Times New Roman" w:hAnsi="Times New Roman" w:cs="Times New Roman"/>
          <w:color w:val="auto"/>
          <w:sz w:val="20"/>
          <w:szCs w:val="20"/>
          <w:u w:color="1D1F21"/>
          <w:shd w:val="clear" w:color="auto" w:fill="FFFFFF"/>
        </w:rPr>
        <w:t xml:space="preserve">The main contribution of this research is the discussion on the minimum required number of measurement points for a precise microphone classification. </w:t>
      </w:r>
      <w:proofErr w:type="gramStart"/>
      <w:r w:rsidRPr="00CB637F">
        <w:rPr>
          <w:rFonts w:ascii="Times New Roman" w:hAnsi="Times New Roman" w:cs="Times New Roman"/>
          <w:color w:val="auto"/>
          <w:sz w:val="20"/>
          <w:szCs w:val="20"/>
          <w:u w:color="1D1F21"/>
          <w:shd w:val="clear" w:color="auto" w:fill="FFFFFF"/>
        </w:rPr>
        <w:t>In order to</w:t>
      </w:r>
      <w:proofErr w:type="gramEnd"/>
      <w:r w:rsidRPr="00CB637F">
        <w:rPr>
          <w:rFonts w:ascii="Times New Roman" w:hAnsi="Times New Roman" w:cs="Times New Roman"/>
          <w:color w:val="auto"/>
          <w:sz w:val="20"/>
          <w:szCs w:val="20"/>
          <w:u w:color="1D1F21"/>
          <w:shd w:val="clear" w:color="auto" w:fill="FFFFFF"/>
        </w:rPr>
        <w:t xml:space="preserve"> make a unique attitude, considering all three subranges, it can be concluded that the model needs only three points for microphone type prediction. That is a very good result compared to standard classification methods but is less than the needed number of points (5) if we didn’t consider division on frequency subranges. Also, this way the problems of numerous measurement points and slow measurements are solved. The calibration procedure is improved, microphone characteristics can be obtained quickly, </w:t>
      </w:r>
      <w:proofErr w:type="gramStart"/>
      <w:r w:rsidRPr="00CB637F">
        <w:rPr>
          <w:rFonts w:ascii="Times New Roman" w:hAnsi="Times New Roman" w:cs="Times New Roman"/>
          <w:color w:val="auto"/>
          <w:sz w:val="20"/>
          <w:szCs w:val="20"/>
          <w:u w:color="1D1F21"/>
          <w:shd w:val="clear" w:color="auto" w:fill="FFFFFF"/>
        </w:rPr>
        <w:t>reliably</w:t>
      </w:r>
      <w:proofErr w:type="gramEnd"/>
      <w:r w:rsidRPr="00CB637F">
        <w:rPr>
          <w:rFonts w:ascii="Times New Roman" w:hAnsi="Times New Roman" w:cs="Times New Roman"/>
          <w:color w:val="auto"/>
          <w:sz w:val="20"/>
          <w:szCs w:val="20"/>
          <w:u w:color="1D1F21"/>
          <w:shd w:val="clear" w:color="auto" w:fill="FFFFFF"/>
        </w:rPr>
        <w:t xml:space="preserve"> and very precise. </w:t>
      </w:r>
    </w:p>
    <w:p w14:paraId="4A166A92" w14:textId="0D3E41E1" w:rsidR="00FA1872" w:rsidRDefault="00D2134A">
      <w:pPr>
        <w:pStyle w:val="BodyA"/>
        <w:ind w:firstLine="720"/>
      </w:pPr>
      <w:r>
        <w:rPr>
          <w:sz w:val="20"/>
          <w:szCs w:val="20"/>
        </w:rPr>
        <w:tab/>
      </w:r>
      <w:r>
        <w:rPr>
          <w:sz w:val="20"/>
          <w:szCs w:val="20"/>
        </w:rPr>
        <w:tab/>
      </w:r>
      <w:r>
        <w:rPr>
          <w:sz w:val="20"/>
          <w:szCs w:val="20"/>
        </w:rPr>
        <w:tab/>
      </w:r>
      <w:r>
        <w:rPr>
          <w:sz w:val="20"/>
          <w:szCs w:val="20"/>
        </w:rPr>
        <w:tab/>
      </w:r>
      <w:r>
        <w:rPr>
          <w:sz w:val="20"/>
          <w:szCs w:val="20"/>
        </w:rPr>
        <w:tab/>
      </w:r>
    </w:p>
    <w:p w14:paraId="59033024" w14:textId="77777777" w:rsidR="00FA1872" w:rsidRDefault="00FA1872">
      <w:pPr>
        <w:pStyle w:val="BodyA"/>
      </w:pPr>
    </w:p>
    <w:p w14:paraId="6A5AAB65" w14:textId="77777777" w:rsidR="00FA1872" w:rsidRDefault="00D2134A">
      <w:pPr>
        <w:pStyle w:val="BodyA"/>
      </w:pPr>
      <w:r>
        <w:rPr>
          <w:b/>
          <w:bCs/>
          <w:sz w:val="22"/>
          <w:szCs w:val="22"/>
        </w:rPr>
        <w:t>REFERENCES</w:t>
      </w:r>
    </w:p>
    <w:p w14:paraId="336E251F" w14:textId="77777777" w:rsidR="00FA1872" w:rsidRDefault="00FA1872">
      <w:pPr>
        <w:pStyle w:val="BodyA"/>
        <w:tabs>
          <w:tab w:val="left" w:pos="284"/>
        </w:tabs>
      </w:pPr>
    </w:p>
    <w:p w14:paraId="1DA98561" w14:textId="77777777" w:rsidR="00CB637F" w:rsidRPr="003B6F72" w:rsidRDefault="00CB637F" w:rsidP="00CB637F">
      <w:pPr>
        <w:widowControl w:val="0"/>
        <w:adjustRightInd w:val="0"/>
        <w:ind w:left="640" w:hanging="640"/>
        <w:rPr>
          <w:noProof/>
          <w:sz w:val="16"/>
        </w:rPr>
      </w:pPr>
      <w:r w:rsidRPr="00C85C31">
        <w:rPr>
          <w:sz w:val="16"/>
          <w:szCs w:val="16"/>
        </w:rPr>
        <w:fldChar w:fldCharType="begin" w:fldLock="1"/>
      </w:r>
      <w:r w:rsidRPr="00C85C31">
        <w:rPr>
          <w:sz w:val="16"/>
          <w:szCs w:val="16"/>
        </w:rPr>
        <w:instrText xml:space="preserve">ADDIN Mendeley Bibliography CSL_BIBLIOGRAPHY </w:instrText>
      </w:r>
      <w:r w:rsidRPr="00C85C31">
        <w:rPr>
          <w:sz w:val="16"/>
          <w:szCs w:val="16"/>
        </w:rPr>
        <w:fldChar w:fldCharType="separate"/>
      </w:r>
      <w:r w:rsidRPr="003B6F72">
        <w:rPr>
          <w:noProof/>
          <w:sz w:val="16"/>
        </w:rPr>
        <w:t>[1]</w:t>
      </w:r>
      <w:r w:rsidRPr="003B6F72">
        <w:rPr>
          <w:noProof/>
          <w:sz w:val="16"/>
        </w:rPr>
        <w:tab/>
        <w:t xml:space="preserve">D. Liu, Y. Tan, E. Khoram, and Z. Yu, “Training Deep Neural Networks for the Inverse Design of Nanophotonic Structures,” </w:t>
      </w:r>
      <w:r w:rsidRPr="003B6F72">
        <w:rPr>
          <w:i/>
          <w:iCs/>
          <w:noProof/>
          <w:sz w:val="16"/>
        </w:rPr>
        <w:t>ACS Photonics</w:t>
      </w:r>
      <w:r w:rsidRPr="003B6F72">
        <w:rPr>
          <w:noProof/>
          <w:sz w:val="16"/>
        </w:rPr>
        <w:t>, vol. 5, no. 4, pp. 1365–1369, 2018.</w:t>
      </w:r>
    </w:p>
    <w:p w14:paraId="0B6E924A" w14:textId="77777777" w:rsidR="00CB637F" w:rsidRPr="003B6F72" w:rsidRDefault="00CB637F" w:rsidP="00CB637F">
      <w:pPr>
        <w:widowControl w:val="0"/>
        <w:adjustRightInd w:val="0"/>
        <w:ind w:left="640" w:hanging="640"/>
        <w:rPr>
          <w:noProof/>
          <w:sz w:val="16"/>
        </w:rPr>
      </w:pPr>
      <w:r w:rsidRPr="003B6F72">
        <w:rPr>
          <w:noProof/>
          <w:sz w:val="16"/>
        </w:rPr>
        <w:t>[2]</w:t>
      </w:r>
      <w:r w:rsidRPr="003B6F72">
        <w:rPr>
          <w:noProof/>
          <w:sz w:val="16"/>
        </w:rPr>
        <w:tab/>
        <w:t xml:space="preserve">D. Allman, A. Reiter, and M. A. L. Bell, “Photoacoustic Source Detection and Reflection Artifact Removal Enabled by Deep Learning,” </w:t>
      </w:r>
      <w:r w:rsidRPr="003B6F72">
        <w:rPr>
          <w:i/>
          <w:iCs/>
          <w:noProof/>
          <w:sz w:val="16"/>
        </w:rPr>
        <w:t>IEEE Trans. Med. Imaging</w:t>
      </w:r>
      <w:r w:rsidRPr="003B6F72">
        <w:rPr>
          <w:noProof/>
          <w:sz w:val="16"/>
        </w:rPr>
        <w:t>, vol. 37, no. 6, pp. 1464–1477, 2018.</w:t>
      </w:r>
    </w:p>
    <w:p w14:paraId="2BEECF44" w14:textId="77777777" w:rsidR="00CB637F" w:rsidRPr="003B6F72" w:rsidRDefault="00CB637F" w:rsidP="00CB637F">
      <w:pPr>
        <w:widowControl w:val="0"/>
        <w:adjustRightInd w:val="0"/>
        <w:ind w:left="640" w:hanging="640"/>
        <w:rPr>
          <w:noProof/>
          <w:sz w:val="16"/>
        </w:rPr>
      </w:pPr>
      <w:r w:rsidRPr="003B6F72">
        <w:rPr>
          <w:noProof/>
          <w:sz w:val="16"/>
        </w:rPr>
        <w:t>[3]</w:t>
      </w:r>
      <w:r w:rsidRPr="003B6F72">
        <w:rPr>
          <w:noProof/>
          <w:sz w:val="16"/>
        </w:rPr>
        <w:tab/>
        <w:t xml:space="preserve">S. Antholzer, M. Haltmeier, and J. Schwab, “Deep learning for photoacoustic tomography from sparse data,” </w:t>
      </w:r>
      <w:r w:rsidRPr="003B6F72">
        <w:rPr>
          <w:i/>
          <w:iCs/>
          <w:noProof/>
          <w:sz w:val="16"/>
        </w:rPr>
        <w:t>Inverse Probl. Sci. Eng.</w:t>
      </w:r>
      <w:r w:rsidRPr="003B6F72">
        <w:rPr>
          <w:noProof/>
          <w:sz w:val="16"/>
        </w:rPr>
        <w:t>, pp. 1–22, 2018.</w:t>
      </w:r>
    </w:p>
    <w:p w14:paraId="039227E4" w14:textId="77777777" w:rsidR="00CB637F" w:rsidRPr="003B6F72" w:rsidRDefault="00CB637F" w:rsidP="00CB637F">
      <w:pPr>
        <w:widowControl w:val="0"/>
        <w:adjustRightInd w:val="0"/>
        <w:ind w:left="640" w:hanging="640"/>
        <w:rPr>
          <w:noProof/>
          <w:sz w:val="16"/>
        </w:rPr>
      </w:pPr>
      <w:r w:rsidRPr="003B6F72">
        <w:rPr>
          <w:noProof/>
          <w:sz w:val="16"/>
        </w:rPr>
        <w:t>[4]</w:t>
      </w:r>
      <w:r w:rsidRPr="003B6F72">
        <w:rPr>
          <w:noProof/>
          <w:sz w:val="16"/>
        </w:rPr>
        <w:tab/>
        <w:t xml:space="preserve">M. Lukić, Ž. Ćojbašić, M. D. Rabasović, and D. D. Markushev, “Computationally intelligent pulsed photoacoustics,” </w:t>
      </w:r>
      <w:r w:rsidRPr="003B6F72">
        <w:rPr>
          <w:i/>
          <w:iCs/>
          <w:noProof/>
          <w:sz w:val="16"/>
        </w:rPr>
        <w:t>Meas. Sci. Technol.</w:t>
      </w:r>
      <w:r w:rsidRPr="003B6F72">
        <w:rPr>
          <w:noProof/>
          <w:sz w:val="16"/>
        </w:rPr>
        <w:t>, vol. 25, no. 12, p. 125203, 2014.</w:t>
      </w:r>
    </w:p>
    <w:p w14:paraId="1911148C" w14:textId="77777777" w:rsidR="00CB637F" w:rsidRPr="003B6F72" w:rsidRDefault="00CB637F" w:rsidP="00CB637F">
      <w:pPr>
        <w:widowControl w:val="0"/>
        <w:adjustRightInd w:val="0"/>
        <w:ind w:left="640" w:hanging="640"/>
        <w:rPr>
          <w:noProof/>
          <w:sz w:val="16"/>
        </w:rPr>
      </w:pPr>
      <w:r w:rsidRPr="003B6F72">
        <w:rPr>
          <w:noProof/>
          <w:sz w:val="16"/>
        </w:rPr>
        <w:t>[5]</w:t>
      </w:r>
      <w:r w:rsidRPr="003B6F72">
        <w:rPr>
          <w:noProof/>
          <w:sz w:val="16"/>
        </w:rPr>
        <w:tab/>
        <w:t xml:space="preserve">M. Lukić, Ćojbašić, M. D. Rabasović, D. D. Markushev, and D. M. Todorović, “Laser Fluence Recognition Using Computationally Intelligent Pulsed Photoacoustics Within the Trace Gases Analysis,” </w:t>
      </w:r>
      <w:r w:rsidRPr="003B6F72">
        <w:rPr>
          <w:i/>
          <w:iCs/>
          <w:noProof/>
          <w:sz w:val="16"/>
        </w:rPr>
        <w:t>Int. J. Thermophys.</w:t>
      </w:r>
      <w:r w:rsidRPr="003B6F72">
        <w:rPr>
          <w:noProof/>
          <w:sz w:val="16"/>
        </w:rPr>
        <w:t>, vol. 38, no. 11, 2017.</w:t>
      </w:r>
    </w:p>
    <w:p w14:paraId="3F4DF39C" w14:textId="77777777" w:rsidR="00CB637F" w:rsidRPr="003B6F72" w:rsidRDefault="00CB637F" w:rsidP="00CB637F">
      <w:pPr>
        <w:widowControl w:val="0"/>
        <w:adjustRightInd w:val="0"/>
        <w:ind w:left="640" w:hanging="640"/>
        <w:rPr>
          <w:noProof/>
          <w:sz w:val="16"/>
        </w:rPr>
      </w:pPr>
      <w:r w:rsidRPr="003B6F72">
        <w:rPr>
          <w:noProof/>
          <w:sz w:val="16"/>
        </w:rPr>
        <w:t>[6]</w:t>
      </w:r>
      <w:r w:rsidRPr="003B6F72">
        <w:rPr>
          <w:noProof/>
          <w:sz w:val="16"/>
        </w:rPr>
        <w:tab/>
        <w:t xml:space="preserve">M. N. Popovic, D. Furundzic, and S. P. Galovic, “Photothermal Depth Profiling Of Optical Gradient Materials By Neural Network,” </w:t>
      </w:r>
      <w:r w:rsidRPr="003B6F72">
        <w:rPr>
          <w:i/>
          <w:iCs/>
          <w:noProof/>
          <w:sz w:val="16"/>
        </w:rPr>
        <w:t>Publ. Astron. Obs. Belgrade</w:t>
      </w:r>
      <w:r w:rsidRPr="003B6F72">
        <w:rPr>
          <w:noProof/>
          <w:sz w:val="16"/>
        </w:rPr>
        <w:t>, vol. 89, no. May 2015, 2010.</w:t>
      </w:r>
    </w:p>
    <w:p w14:paraId="2C877CB8" w14:textId="77777777" w:rsidR="00CB637F" w:rsidRPr="003B6F72" w:rsidRDefault="00CB637F" w:rsidP="00CB637F">
      <w:pPr>
        <w:widowControl w:val="0"/>
        <w:adjustRightInd w:val="0"/>
        <w:ind w:left="640" w:hanging="640"/>
        <w:rPr>
          <w:noProof/>
          <w:sz w:val="16"/>
        </w:rPr>
      </w:pPr>
      <w:r w:rsidRPr="003B6F72">
        <w:rPr>
          <w:noProof/>
          <w:sz w:val="16"/>
        </w:rPr>
        <w:t>[7]</w:t>
      </w:r>
      <w:r w:rsidRPr="003B6F72">
        <w:rPr>
          <w:noProof/>
          <w:sz w:val="16"/>
        </w:rPr>
        <w:tab/>
        <w:t xml:space="preserve">S. P. Djordjevic, K.Lj., Markushev, D.D., Ćojbašić, Ž. М., Galović, “Photoacoustic measurements of the thermal and elastic properties of n-type silicon using neural networks,” </w:t>
      </w:r>
      <w:r w:rsidRPr="003B6F72">
        <w:rPr>
          <w:i/>
          <w:iCs/>
          <w:noProof/>
          <w:sz w:val="16"/>
        </w:rPr>
        <w:t>Silicon , Springer</w:t>
      </w:r>
      <w:r w:rsidRPr="003B6F72">
        <w:rPr>
          <w:noProof/>
          <w:sz w:val="16"/>
        </w:rPr>
        <w:t>.</w:t>
      </w:r>
    </w:p>
    <w:p w14:paraId="64C85889" w14:textId="77777777" w:rsidR="00CB637F" w:rsidRPr="003B6F72" w:rsidRDefault="00CB637F" w:rsidP="00CB637F">
      <w:pPr>
        <w:widowControl w:val="0"/>
        <w:adjustRightInd w:val="0"/>
        <w:ind w:left="640" w:hanging="640"/>
        <w:rPr>
          <w:noProof/>
          <w:sz w:val="16"/>
        </w:rPr>
      </w:pPr>
      <w:r w:rsidRPr="003B6F72">
        <w:rPr>
          <w:noProof/>
          <w:sz w:val="16"/>
        </w:rPr>
        <w:t>[8]</w:t>
      </w:r>
      <w:r w:rsidRPr="003B6F72">
        <w:rPr>
          <w:noProof/>
          <w:sz w:val="16"/>
        </w:rPr>
        <w:tab/>
        <w:t xml:space="preserve">I. Goodfellow, Y. Bengio, and A. Courville, </w:t>
      </w:r>
      <w:r w:rsidRPr="003B6F72">
        <w:rPr>
          <w:i/>
          <w:iCs/>
          <w:noProof/>
          <w:sz w:val="16"/>
        </w:rPr>
        <w:t>Deep Learning</w:t>
      </w:r>
      <w:r w:rsidRPr="003B6F72">
        <w:rPr>
          <w:noProof/>
          <w:sz w:val="16"/>
        </w:rPr>
        <w:t>. MIT Press, 2016.</w:t>
      </w:r>
    </w:p>
    <w:p w14:paraId="74F97AB9" w14:textId="77777777" w:rsidR="00CB637F" w:rsidRPr="003B6F72" w:rsidRDefault="00CB637F" w:rsidP="00CB637F">
      <w:pPr>
        <w:widowControl w:val="0"/>
        <w:adjustRightInd w:val="0"/>
        <w:ind w:left="640" w:hanging="640"/>
        <w:rPr>
          <w:noProof/>
          <w:sz w:val="16"/>
        </w:rPr>
      </w:pPr>
      <w:r w:rsidRPr="003B6F72">
        <w:rPr>
          <w:noProof/>
          <w:sz w:val="16"/>
        </w:rPr>
        <w:t>[9]</w:t>
      </w:r>
      <w:r w:rsidRPr="003B6F72">
        <w:rPr>
          <w:noProof/>
          <w:sz w:val="16"/>
        </w:rPr>
        <w:tab/>
        <w:t xml:space="preserve">M. I. Jordović-Pavlović, M. M. Stanković, M. N. Popović, Ž. M. Ćojbašić, S. P. Galović, and D. D. Markushev, “The application of artificial neural networks in solid-state photoacoustics for the recognition of microphone response effects in the frequency domain,” </w:t>
      </w:r>
      <w:r w:rsidRPr="003B6F72">
        <w:rPr>
          <w:i/>
          <w:iCs/>
          <w:noProof/>
          <w:sz w:val="16"/>
        </w:rPr>
        <w:t>J. Comput. Electron.</w:t>
      </w:r>
      <w:r w:rsidRPr="003B6F72">
        <w:rPr>
          <w:noProof/>
          <w:sz w:val="16"/>
        </w:rPr>
        <w:t>, vol. 19, no. 3, pp. 1268–1280, 2020.</w:t>
      </w:r>
    </w:p>
    <w:p w14:paraId="21E60E2F" w14:textId="77777777" w:rsidR="00CB637F" w:rsidRPr="003B6F72" w:rsidRDefault="00CB637F" w:rsidP="00CB637F">
      <w:pPr>
        <w:widowControl w:val="0"/>
        <w:adjustRightInd w:val="0"/>
        <w:ind w:left="640" w:hanging="640"/>
        <w:rPr>
          <w:noProof/>
          <w:sz w:val="16"/>
        </w:rPr>
      </w:pPr>
      <w:r w:rsidRPr="003B6F72">
        <w:rPr>
          <w:noProof/>
          <w:sz w:val="16"/>
        </w:rPr>
        <w:t>[10]</w:t>
      </w:r>
      <w:r w:rsidRPr="003B6F72">
        <w:rPr>
          <w:noProof/>
          <w:sz w:val="16"/>
        </w:rPr>
        <w:tab/>
        <w:t xml:space="preserve">M. I. Jordovic-Pavlovic </w:t>
      </w:r>
      <w:r w:rsidRPr="003B6F72">
        <w:rPr>
          <w:i/>
          <w:iCs/>
          <w:noProof/>
          <w:sz w:val="16"/>
        </w:rPr>
        <w:t>et al.</w:t>
      </w:r>
      <w:r w:rsidRPr="003B6F72">
        <w:rPr>
          <w:noProof/>
          <w:sz w:val="16"/>
        </w:rPr>
        <w:t xml:space="preserve">, “Computationally intelligent description of a photoacoustic detector,” </w:t>
      </w:r>
      <w:r w:rsidRPr="003B6F72">
        <w:rPr>
          <w:i/>
          <w:iCs/>
          <w:noProof/>
          <w:sz w:val="16"/>
        </w:rPr>
        <w:t>Opt. Quantum Electron.</w:t>
      </w:r>
      <w:r w:rsidRPr="003B6F72">
        <w:rPr>
          <w:noProof/>
          <w:sz w:val="16"/>
        </w:rPr>
        <w:t>, vol. 52, no. 5, pp. 1–14, 2020.</w:t>
      </w:r>
    </w:p>
    <w:p w14:paraId="11BAE809" w14:textId="77777777" w:rsidR="00CB637F" w:rsidRPr="003B6F72" w:rsidRDefault="00CB637F" w:rsidP="00CB637F">
      <w:pPr>
        <w:widowControl w:val="0"/>
        <w:adjustRightInd w:val="0"/>
        <w:ind w:left="640" w:hanging="640"/>
        <w:rPr>
          <w:noProof/>
          <w:sz w:val="16"/>
        </w:rPr>
      </w:pPr>
      <w:r w:rsidRPr="003B6F72">
        <w:rPr>
          <w:noProof/>
          <w:sz w:val="16"/>
        </w:rPr>
        <w:t>[11]</w:t>
      </w:r>
      <w:r w:rsidRPr="003B6F72">
        <w:rPr>
          <w:noProof/>
          <w:sz w:val="16"/>
        </w:rPr>
        <w:tab/>
        <w:t>M. J. Pavlovic, A. Kupusinac, and M. Popovic, “Classification model for microphone type recognition,” 2019, pp. 2–6.</w:t>
      </w:r>
    </w:p>
    <w:p w14:paraId="4A645545" w14:textId="77777777" w:rsidR="00CB637F" w:rsidRPr="003B6F72" w:rsidRDefault="00CB637F" w:rsidP="00CB637F">
      <w:pPr>
        <w:widowControl w:val="0"/>
        <w:adjustRightInd w:val="0"/>
        <w:ind w:left="640" w:hanging="640"/>
        <w:rPr>
          <w:noProof/>
          <w:sz w:val="16"/>
        </w:rPr>
      </w:pPr>
      <w:r w:rsidRPr="003B6F72">
        <w:rPr>
          <w:noProof/>
          <w:sz w:val="16"/>
        </w:rPr>
        <w:t>[12]</w:t>
      </w:r>
      <w:r w:rsidRPr="003B6F72">
        <w:rPr>
          <w:noProof/>
          <w:sz w:val="16"/>
        </w:rPr>
        <w:tab/>
        <w:t xml:space="preserve">A. Somer and A. Novatski, “The thermoelastic bending and thermal diffusion processes influence on photoacoustic signal generation using open photoacoustic cell technique,” </w:t>
      </w:r>
      <w:r w:rsidRPr="003B6F72">
        <w:rPr>
          <w:i/>
          <w:iCs/>
          <w:noProof/>
          <w:sz w:val="16"/>
        </w:rPr>
        <w:t>J. Appl. Phys.</w:t>
      </w:r>
      <w:r w:rsidRPr="003B6F72">
        <w:rPr>
          <w:noProof/>
          <w:sz w:val="16"/>
        </w:rPr>
        <w:t>, vol. 114, no. 6, p. 63503, 2013.</w:t>
      </w:r>
    </w:p>
    <w:p w14:paraId="06281428" w14:textId="77777777" w:rsidR="00CB637F" w:rsidRPr="003B6F72" w:rsidRDefault="00CB637F" w:rsidP="00CB637F">
      <w:pPr>
        <w:widowControl w:val="0"/>
        <w:adjustRightInd w:val="0"/>
        <w:ind w:left="640" w:hanging="640"/>
        <w:rPr>
          <w:noProof/>
          <w:sz w:val="16"/>
        </w:rPr>
      </w:pPr>
      <w:r w:rsidRPr="003B6F72">
        <w:rPr>
          <w:noProof/>
          <w:sz w:val="16"/>
        </w:rPr>
        <w:t>[13]</w:t>
      </w:r>
      <w:r w:rsidRPr="003B6F72">
        <w:rPr>
          <w:noProof/>
          <w:sz w:val="16"/>
        </w:rPr>
        <w:tab/>
        <w:t xml:space="preserve">D. D. Markushev, M. D. Rabasovic, D. M. Todorović, S. P. Galovic, and S. E. Bialkowski, “Photoacoustic signal and noise analysis for Si thin plate: Signal correction in frequency domain,” </w:t>
      </w:r>
      <w:r w:rsidRPr="003B6F72">
        <w:rPr>
          <w:i/>
          <w:iCs/>
          <w:noProof/>
          <w:sz w:val="16"/>
        </w:rPr>
        <w:t>Rev. Sci. Instrum.</w:t>
      </w:r>
      <w:r w:rsidRPr="003B6F72">
        <w:rPr>
          <w:noProof/>
          <w:sz w:val="16"/>
        </w:rPr>
        <w:t>, vol. 86, no. 3, pp. 1–10, 2015.</w:t>
      </w:r>
    </w:p>
    <w:p w14:paraId="4A99FF13" w14:textId="77777777" w:rsidR="00CB637F" w:rsidRPr="003B6F72" w:rsidRDefault="00CB637F" w:rsidP="00CB637F">
      <w:pPr>
        <w:widowControl w:val="0"/>
        <w:adjustRightInd w:val="0"/>
        <w:ind w:left="640" w:hanging="640"/>
        <w:rPr>
          <w:noProof/>
          <w:sz w:val="16"/>
        </w:rPr>
      </w:pPr>
      <w:r w:rsidRPr="003B6F72">
        <w:rPr>
          <w:noProof/>
          <w:sz w:val="16"/>
        </w:rPr>
        <w:t>[14]</w:t>
      </w:r>
      <w:r w:rsidRPr="003B6F72">
        <w:rPr>
          <w:noProof/>
          <w:sz w:val="16"/>
        </w:rPr>
        <w:tab/>
        <w:t xml:space="preserve">T. I. Jolliffe and J. Cadima, “Principal component analysis: a review and recent developments,” </w:t>
      </w:r>
      <w:r w:rsidRPr="003B6F72">
        <w:rPr>
          <w:i/>
          <w:iCs/>
          <w:noProof/>
          <w:sz w:val="16"/>
        </w:rPr>
        <w:t>Philos. Trans. R. Soc. A Math. Phys. Eng. Sci.</w:t>
      </w:r>
      <w:r w:rsidRPr="003B6F72">
        <w:rPr>
          <w:noProof/>
          <w:sz w:val="16"/>
        </w:rPr>
        <w:t>, vol. 374, no. 2065, Apr. 2016.</w:t>
      </w:r>
    </w:p>
    <w:p w14:paraId="10DB4CC1" w14:textId="77777777" w:rsidR="00CB637F" w:rsidRPr="003B6F72" w:rsidRDefault="00CB637F" w:rsidP="00CB637F">
      <w:pPr>
        <w:widowControl w:val="0"/>
        <w:adjustRightInd w:val="0"/>
        <w:ind w:left="640" w:hanging="640"/>
        <w:rPr>
          <w:noProof/>
          <w:sz w:val="16"/>
        </w:rPr>
      </w:pPr>
      <w:r w:rsidRPr="003B6F72">
        <w:rPr>
          <w:noProof/>
          <w:sz w:val="16"/>
        </w:rPr>
        <w:t>[15]</w:t>
      </w:r>
      <w:r w:rsidRPr="003B6F72">
        <w:rPr>
          <w:noProof/>
          <w:sz w:val="16"/>
        </w:rPr>
        <w:tab/>
        <w:t xml:space="preserve">E. Martel </w:t>
      </w:r>
      <w:r w:rsidRPr="003B6F72">
        <w:rPr>
          <w:i/>
          <w:iCs/>
          <w:noProof/>
          <w:sz w:val="16"/>
        </w:rPr>
        <w:t>et al.</w:t>
      </w:r>
      <w:r w:rsidRPr="003B6F72">
        <w:rPr>
          <w:noProof/>
          <w:sz w:val="16"/>
        </w:rPr>
        <w:t xml:space="preserve">, “Implementation of the Principal Component Analysis onto high-performance computer facilities for hyperspectral dimensionality reduction: Results and comparisons,” </w:t>
      </w:r>
      <w:r w:rsidRPr="003B6F72">
        <w:rPr>
          <w:i/>
          <w:iCs/>
          <w:noProof/>
          <w:sz w:val="16"/>
        </w:rPr>
        <w:t>Remote Sens.</w:t>
      </w:r>
      <w:r w:rsidRPr="003B6F72">
        <w:rPr>
          <w:noProof/>
          <w:sz w:val="16"/>
        </w:rPr>
        <w:t>, vol. 10, no. 6, 2018.</w:t>
      </w:r>
    </w:p>
    <w:p w14:paraId="481C3B37" w14:textId="77777777" w:rsidR="00CB637F" w:rsidRPr="003B6F72" w:rsidRDefault="00CB637F" w:rsidP="00CB637F">
      <w:pPr>
        <w:widowControl w:val="0"/>
        <w:adjustRightInd w:val="0"/>
        <w:ind w:left="640" w:hanging="640"/>
        <w:rPr>
          <w:noProof/>
          <w:sz w:val="16"/>
        </w:rPr>
      </w:pPr>
      <w:r w:rsidRPr="003B6F72">
        <w:rPr>
          <w:noProof/>
          <w:sz w:val="16"/>
        </w:rPr>
        <w:t>[16]</w:t>
      </w:r>
      <w:r w:rsidRPr="003B6F72">
        <w:rPr>
          <w:noProof/>
          <w:sz w:val="16"/>
        </w:rPr>
        <w:tab/>
        <w:t xml:space="preserve">S. Aleksic, D. Markushev, D. Pantic, M. Rabasovic, D. Markushev, and D. Todorovic, “Electro-acustic influence of the measuring system on the photoacoustic signal amplitude and phase in frequency domain,” </w:t>
      </w:r>
      <w:r w:rsidRPr="003B6F72">
        <w:rPr>
          <w:i/>
          <w:iCs/>
          <w:noProof/>
          <w:sz w:val="16"/>
        </w:rPr>
        <w:t>Facta Univ. - Ser. Physics, Chem. Technol.</w:t>
      </w:r>
      <w:r w:rsidRPr="003B6F72">
        <w:rPr>
          <w:noProof/>
          <w:sz w:val="16"/>
        </w:rPr>
        <w:t>, vol. 14, no. 1, pp. 9–20, 2016.</w:t>
      </w:r>
    </w:p>
    <w:p w14:paraId="7E18822C" w14:textId="77777777" w:rsidR="00CB637F" w:rsidRPr="003B6F72" w:rsidRDefault="00CB637F" w:rsidP="00CB637F">
      <w:pPr>
        <w:widowControl w:val="0"/>
        <w:adjustRightInd w:val="0"/>
        <w:ind w:left="640" w:hanging="640"/>
        <w:rPr>
          <w:noProof/>
          <w:sz w:val="16"/>
        </w:rPr>
      </w:pPr>
      <w:r w:rsidRPr="003B6F72">
        <w:rPr>
          <w:noProof/>
          <w:sz w:val="16"/>
        </w:rPr>
        <w:t>[17]</w:t>
      </w:r>
      <w:r w:rsidRPr="003B6F72">
        <w:rPr>
          <w:noProof/>
          <w:sz w:val="16"/>
        </w:rPr>
        <w:tab/>
        <w:t xml:space="preserve">M. N. Popovic </w:t>
      </w:r>
      <w:r w:rsidRPr="003B6F72">
        <w:rPr>
          <w:i/>
          <w:iCs/>
          <w:noProof/>
          <w:sz w:val="16"/>
        </w:rPr>
        <w:t>et al.</w:t>
      </w:r>
      <w:r w:rsidRPr="003B6F72">
        <w:rPr>
          <w:noProof/>
          <w:sz w:val="16"/>
        </w:rPr>
        <w:t xml:space="preserve">, “Helmholtz Resonances in Photoacoustic Experiment with Laser-Sintered Polyamide Including Thermal Memory of </w:t>
      </w:r>
      <w:r w:rsidRPr="003B6F72">
        <w:rPr>
          <w:noProof/>
          <w:sz w:val="16"/>
        </w:rPr>
        <w:lastRenderedPageBreak/>
        <w:t xml:space="preserve">Samples,” </w:t>
      </w:r>
      <w:r w:rsidRPr="003B6F72">
        <w:rPr>
          <w:i/>
          <w:iCs/>
          <w:noProof/>
          <w:sz w:val="16"/>
        </w:rPr>
        <w:t>Int. J. Thermophys.</w:t>
      </w:r>
      <w:r w:rsidRPr="003B6F72">
        <w:rPr>
          <w:noProof/>
          <w:sz w:val="16"/>
        </w:rPr>
        <w:t>, vol. 37, no. 12, pp. 1–9, 2016.</w:t>
      </w:r>
    </w:p>
    <w:p w14:paraId="0D46BFFC" w14:textId="77777777" w:rsidR="00CB637F" w:rsidRPr="003B6F72" w:rsidRDefault="00CB637F" w:rsidP="00CB637F">
      <w:pPr>
        <w:widowControl w:val="0"/>
        <w:adjustRightInd w:val="0"/>
        <w:ind w:left="640" w:hanging="640"/>
        <w:rPr>
          <w:noProof/>
          <w:sz w:val="16"/>
        </w:rPr>
      </w:pPr>
      <w:r w:rsidRPr="003B6F72">
        <w:rPr>
          <w:noProof/>
          <w:sz w:val="16"/>
        </w:rPr>
        <w:t>[18]</w:t>
      </w:r>
      <w:r w:rsidRPr="003B6F72">
        <w:rPr>
          <w:noProof/>
          <w:sz w:val="16"/>
        </w:rPr>
        <w:tab/>
        <w:t xml:space="preserve">S. Shalev-Shwartz and S. Ben-David, </w:t>
      </w:r>
      <w:r w:rsidRPr="003B6F72">
        <w:rPr>
          <w:i/>
          <w:iCs/>
          <w:noProof/>
          <w:sz w:val="16"/>
        </w:rPr>
        <w:t>Understanding machine learning: From theory to algorithms</w:t>
      </w:r>
      <w:r w:rsidRPr="003B6F72">
        <w:rPr>
          <w:noProof/>
          <w:sz w:val="16"/>
        </w:rPr>
        <w:t>. New York, USA: Cambridge University Press., 2014.</w:t>
      </w:r>
    </w:p>
    <w:p w14:paraId="6E3FCC88" w14:textId="77777777" w:rsidR="00CB637F" w:rsidRPr="003B6F72" w:rsidRDefault="00CB637F" w:rsidP="00CB637F">
      <w:pPr>
        <w:widowControl w:val="0"/>
        <w:adjustRightInd w:val="0"/>
        <w:ind w:left="640" w:hanging="640"/>
        <w:rPr>
          <w:noProof/>
          <w:sz w:val="16"/>
        </w:rPr>
      </w:pPr>
      <w:r w:rsidRPr="003B6F72">
        <w:rPr>
          <w:noProof/>
          <w:sz w:val="16"/>
        </w:rPr>
        <w:t>[19]</w:t>
      </w:r>
      <w:r w:rsidRPr="003B6F72">
        <w:rPr>
          <w:noProof/>
          <w:sz w:val="16"/>
        </w:rPr>
        <w:tab/>
        <w:t xml:space="preserve">B. Christopher, </w:t>
      </w:r>
      <w:r w:rsidRPr="003B6F72">
        <w:rPr>
          <w:i/>
          <w:iCs/>
          <w:noProof/>
          <w:sz w:val="16"/>
        </w:rPr>
        <w:t>Pattern Recognition and Machine Learning</w:t>
      </w:r>
      <w:r w:rsidRPr="003B6F72">
        <w:rPr>
          <w:noProof/>
          <w:sz w:val="16"/>
        </w:rPr>
        <w:t>. © 2006 Springer Science+Business Media, LLC, 2006.</w:t>
      </w:r>
    </w:p>
    <w:p w14:paraId="20968122" w14:textId="77777777" w:rsidR="00CB637F" w:rsidRPr="003B6F72" w:rsidRDefault="00CB637F" w:rsidP="00CB637F">
      <w:pPr>
        <w:widowControl w:val="0"/>
        <w:adjustRightInd w:val="0"/>
        <w:ind w:left="640" w:hanging="640"/>
        <w:rPr>
          <w:noProof/>
          <w:sz w:val="16"/>
        </w:rPr>
      </w:pPr>
      <w:r w:rsidRPr="003B6F72">
        <w:rPr>
          <w:noProof/>
          <w:sz w:val="16"/>
        </w:rPr>
        <w:t>[20]</w:t>
      </w:r>
      <w:r w:rsidRPr="003B6F72">
        <w:rPr>
          <w:noProof/>
          <w:sz w:val="16"/>
        </w:rPr>
        <w:tab/>
        <w:t>A. Rajaraman, J. D. Ullman, and J. Leskovec, “Mining of Massive Datasets (Google eBook),” p. 315, 2012.</w:t>
      </w:r>
    </w:p>
    <w:p w14:paraId="48E4B56A" w14:textId="77777777" w:rsidR="00CB637F" w:rsidRPr="003B6F72" w:rsidRDefault="00CB637F" w:rsidP="00CB637F">
      <w:pPr>
        <w:widowControl w:val="0"/>
        <w:adjustRightInd w:val="0"/>
        <w:ind w:left="640" w:hanging="640"/>
        <w:rPr>
          <w:noProof/>
          <w:sz w:val="16"/>
        </w:rPr>
      </w:pPr>
      <w:r w:rsidRPr="003B6F72">
        <w:rPr>
          <w:noProof/>
          <w:sz w:val="16"/>
        </w:rPr>
        <w:t>[21]</w:t>
      </w:r>
      <w:r w:rsidRPr="003B6F72">
        <w:rPr>
          <w:noProof/>
          <w:sz w:val="16"/>
        </w:rPr>
        <w:tab/>
        <w:t xml:space="preserve">M. D. Rabasovic, M. G. Nikolic, M. D. Dramicanin, M. Franko, and D. D. Markushev, “Low-cost, portable photoacoustic setup for solid samples,” </w:t>
      </w:r>
      <w:r w:rsidRPr="003B6F72">
        <w:rPr>
          <w:i/>
          <w:iCs/>
          <w:noProof/>
          <w:sz w:val="16"/>
        </w:rPr>
        <w:t>Meas. Sci. Technol.</w:t>
      </w:r>
      <w:r w:rsidRPr="003B6F72">
        <w:rPr>
          <w:noProof/>
          <w:sz w:val="16"/>
        </w:rPr>
        <w:t>, vol. 20, no. 9, p. 95902, 2009.</w:t>
      </w:r>
    </w:p>
    <w:p w14:paraId="18787D5C" w14:textId="091088F7" w:rsidR="00FA1872" w:rsidRDefault="00CB637F" w:rsidP="00CB637F">
      <w:pPr>
        <w:widowControl w:val="0"/>
        <w:autoSpaceDE w:val="0"/>
        <w:autoSpaceDN w:val="0"/>
        <w:adjustRightInd w:val="0"/>
        <w:ind w:left="640" w:hanging="640"/>
        <w:rPr>
          <w:rFonts w:ascii="Times" w:hAnsi="Times"/>
          <w:sz w:val="20"/>
          <w:szCs w:val="20"/>
        </w:rPr>
      </w:pPr>
      <w:r w:rsidRPr="00C85C31">
        <w:rPr>
          <w:sz w:val="16"/>
          <w:szCs w:val="16"/>
        </w:rPr>
        <w:fldChar w:fldCharType="end"/>
      </w:r>
    </w:p>
    <w:sectPr w:rsidR="00FA1872">
      <w:pgSz w:w="11900" w:h="16840"/>
      <w:pgMar w:top="1134" w:right="1134" w:bottom="1134" w:left="1134" w:header="709" w:footer="709"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20"/>
  <w:noPunctuationKerning/>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DB4"/>
    <w:rsid w:val="00022235"/>
    <w:rsid w:val="00026FA6"/>
    <w:rsid w:val="00044EEA"/>
    <w:rsid w:val="00052A09"/>
    <w:rsid w:val="0005528A"/>
    <w:rsid w:val="00061E78"/>
    <w:rsid w:val="000971F3"/>
    <w:rsid w:val="000A5123"/>
    <w:rsid w:val="000B24D5"/>
    <w:rsid w:val="001026BF"/>
    <w:rsid w:val="001138AC"/>
    <w:rsid w:val="00124BF0"/>
    <w:rsid w:val="0013293C"/>
    <w:rsid w:val="0016637E"/>
    <w:rsid w:val="00195E7F"/>
    <w:rsid w:val="001E403F"/>
    <w:rsid w:val="001F7B34"/>
    <w:rsid w:val="0025658D"/>
    <w:rsid w:val="00284FB9"/>
    <w:rsid w:val="002D1450"/>
    <w:rsid w:val="002E4427"/>
    <w:rsid w:val="002E5168"/>
    <w:rsid w:val="002E7461"/>
    <w:rsid w:val="003650D7"/>
    <w:rsid w:val="00371984"/>
    <w:rsid w:val="00371C67"/>
    <w:rsid w:val="00371DD5"/>
    <w:rsid w:val="00386E5D"/>
    <w:rsid w:val="003E1051"/>
    <w:rsid w:val="003E462E"/>
    <w:rsid w:val="00411C0D"/>
    <w:rsid w:val="00415799"/>
    <w:rsid w:val="00462729"/>
    <w:rsid w:val="004720FB"/>
    <w:rsid w:val="00475D25"/>
    <w:rsid w:val="004A1183"/>
    <w:rsid w:val="004B22E3"/>
    <w:rsid w:val="004C11AF"/>
    <w:rsid w:val="004D2F98"/>
    <w:rsid w:val="004D50A4"/>
    <w:rsid w:val="004E5626"/>
    <w:rsid w:val="004E6156"/>
    <w:rsid w:val="0056741F"/>
    <w:rsid w:val="005A7355"/>
    <w:rsid w:val="005C6C06"/>
    <w:rsid w:val="00601C8D"/>
    <w:rsid w:val="00626422"/>
    <w:rsid w:val="00674513"/>
    <w:rsid w:val="00680D77"/>
    <w:rsid w:val="00695D2B"/>
    <w:rsid w:val="006A2B61"/>
    <w:rsid w:val="006A50C4"/>
    <w:rsid w:val="006C6209"/>
    <w:rsid w:val="006D2E84"/>
    <w:rsid w:val="007143FE"/>
    <w:rsid w:val="007343A3"/>
    <w:rsid w:val="0074610C"/>
    <w:rsid w:val="00757D1E"/>
    <w:rsid w:val="007638D7"/>
    <w:rsid w:val="0076446D"/>
    <w:rsid w:val="007722EE"/>
    <w:rsid w:val="00780F89"/>
    <w:rsid w:val="0079737C"/>
    <w:rsid w:val="007A4AF9"/>
    <w:rsid w:val="007B4591"/>
    <w:rsid w:val="00815778"/>
    <w:rsid w:val="0084162F"/>
    <w:rsid w:val="00850E3C"/>
    <w:rsid w:val="0086248B"/>
    <w:rsid w:val="0087283D"/>
    <w:rsid w:val="008D4A88"/>
    <w:rsid w:val="008E0A1B"/>
    <w:rsid w:val="008F2F82"/>
    <w:rsid w:val="008F4748"/>
    <w:rsid w:val="00904B31"/>
    <w:rsid w:val="00911F93"/>
    <w:rsid w:val="00916E2C"/>
    <w:rsid w:val="00916F8B"/>
    <w:rsid w:val="009175FB"/>
    <w:rsid w:val="00921303"/>
    <w:rsid w:val="00921C86"/>
    <w:rsid w:val="009221A0"/>
    <w:rsid w:val="00925BBA"/>
    <w:rsid w:val="009535C2"/>
    <w:rsid w:val="00953C04"/>
    <w:rsid w:val="00954E9D"/>
    <w:rsid w:val="00964D10"/>
    <w:rsid w:val="009753AB"/>
    <w:rsid w:val="00976798"/>
    <w:rsid w:val="00983A76"/>
    <w:rsid w:val="00990B4E"/>
    <w:rsid w:val="009E3E39"/>
    <w:rsid w:val="009F1296"/>
    <w:rsid w:val="00A01D33"/>
    <w:rsid w:val="00A172CB"/>
    <w:rsid w:val="00A35B4C"/>
    <w:rsid w:val="00A44DB4"/>
    <w:rsid w:val="00A47F5A"/>
    <w:rsid w:val="00A51E58"/>
    <w:rsid w:val="00A76E3F"/>
    <w:rsid w:val="00A77032"/>
    <w:rsid w:val="00A837A7"/>
    <w:rsid w:val="00A87BEB"/>
    <w:rsid w:val="00AC10D8"/>
    <w:rsid w:val="00AD54CA"/>
    <w:rsid w:val="00AE55FD"/>
    <w:rsid w:val="00AF5D1B"/>
    <w:rsid w:val="00B57091"/>
    <w:rsid w:val="00B75DF4"/>
    <w:rsid w:val="00BA0A9A"/>
    <w:rsid w:val="00BC7FA2"/>
    <w:rsid w:val="00BD07CA"/>
    <w:rsid w:val="00BF318E"/>
    <w:rsid w:val="00C065CC"/>
    <w:rsid w:val="00C343C6"/>
    <w:rsid w:val="00C6659D"/>
    <w:rsid w:val="00C74686"/>
    <w:rsid w:val="00C84F02"/>
    <w:rsid w:val="00C917B2"/>
    <w:rsid w:val="00C94C83"/>
    <w:rsid w:val="00C96D8B"/>
    <w:rsid w:val="00CB637F"/>
    <w:rsid w:val="00CD7FF6"/>
    <w:rsid w:val="00CF18BC"/>
    <w:rsid w:val="00D11319"/>
    <w:rsid w:val="00D2134A"/>
    <w:rsid w:val="00D37FF4"/>
    <w:rsid w:val="00DF3BF8"/>
    <w:rsid w:val="00E07BEB"/>
    <w:rsid w:val="00E14CB3"/>
    <w:rsid w:val="00E41A77"/>
    <w:rsid w:val="00E56F24"/>
    <w:rsid w:val="00E875A5"/>
    <w:rsid w:val="00EA4BBE"/>
    <w:rsid w:val="00EA7E75"/>
    <w:rsid w:val="00EB6803"/>
    <w:rsid w:val="00ED121E"/>
    <w:rsid w:val="00EF3EA2"/>
    <w:rsid w:val="00F92BDE"/>
    <w:rsid w:val="00FA1872"/>
    <w:rsid w:val="00FB1364"/>
    <w:rsid w:val="00FB14EC"/>
    <w:rsid w:val="00FC6C7A"/>
    <w:rsid w:val="00FC7F5D"/>
    <w:rsid w:val="00FF051E"/>
    <w:rsid w:val="041370B9"/>
    <w:rsid w:val="148C1B00"/>
    <w:rsid w:val="15992B8A"/>
    <w:rsid w:val="171F4693"/>
    <w:rsid w:val="234C1E52"/>
    <w:rsid w:val="29273D38"/>
    <w:rsid w:val="2A464A02"/>
    <w:rsid w:val="314854CF"/>
    <w:rsid w:val="347308D9"/>
    <w:rsid w:val="3BF66F56"/>
    <w:rsid w:val="3EC8265E"/>
    <w:rsid w:val="40B14001"/>
    <w:rsid w:val="54D70D71"/>
    <w:rsid w:val="59552E21"/>
    <w:rsid w:val="5FBB7FF8"/>
    <w:rsid w:val="6EF7243B"/>
    <w:rsid w:val="71996AF1"/>
    <w:rsid w:val="721618D0"/>
    <w:rsid w:val="74517DE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26697"/>
  <w15:docId w15:val="{51FB7D82-43A6-794A-AE45-FFE9B84AC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R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Arial Unicode MS"/>
      <w:sz w:val="24"/>
      <w:szCs w:val="24"/>
      <w:lang w:val="en-US"/>
    </w:rPr>
  </w:style>
  <w:style w:type="paragraph" w:styleId="Heading1">
    <w:name w:val="heading 1"/>
    <w:basedOn w:val="Normal"/>
    <w:next w:val="Normal"/>
    <w:link w:val="Heading1Char"/>
    <w:uiPriority w:val="9"/>
    <w:qFormat/>
    <w:rsid w:val="00EB680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B680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EA4BBE"/>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sz w:val="18"/>
      <w:szCs w:val="18"/>
    </w:rPr>
  </w:style>
  <w:style w:type="paragraph" w:styleId="BodyText">
    <w:name w:val="Body Text"/>
    <w:pPr>
      <w:spacing w:before="100" w:after="100"/>
      <w:jc w:val="both"/>
    </w:pPr>
    <w:rPr>
      <w:rFonts w:eastAsia="Times New Roman"/>
      <w:color w:val="000000"/>
      <w:sz w:val="24"/>
      <w:szCs w:val="24"/>
      <w:u w:color="000000"/>
      <w:lang w:val="en-US"/>
    </w:rPr>
  </w:style>
  <w:style w:type="paragraph" w:styleId="BodyText3">
    <w:name w:val="Body Text 3"/>
    <w:pPr>
      <w:spacing w:after="120"/>
      <w:jc w:val="both"/>
    </w:pPr>
    <w:rPr>
      <w:rFonts w:eastAsia="Arial Unicode MS" w:cs="Arial Unicode MS"/>
      <w:color w:val="000000"/>
      <w:sz w:val="16"/>
      <w:szCs w:val="16"/>
      <w:u w:color="000000"/>
      <w:lang w:val="en-US"/>
    </w:rPr>
  </w:style>
  <w:style w:type="paragraph" w:styleId="Caption">
    <w:name w:val="caption"/>
    <w:basedOn w:val="Normal"/>
    <w:next w:val="Normal"/>
    <w:qFormat/>
    <w:pPr>
      <w:autoSpaceDE w:val="0"/>
      <w:autoSpaceDN w:val="0"/>
      <w:jc w:val="center"/>
    </w:pPr>
    <w:rPr>
      <w:rFonts w:eastAsia="Times New Roman"/>
      <w:b/>
      <w:bCs/>
      <w:sz w:val="14"/>
      <w:szCs w:val="14"/>
      <w:lang w:val="fr-FR"/>
    </w:rPr>
  </w:style>
  <w:style w:type="paragraph" w:styleId="CommentText">
    <w:name w:val="annotation text"/>
    <w:basedOn w:val="Normal"/>
    <w:link w:val="CommentTextChar"/>
    <w:uiPriority w:val="99"/>
    <w:unhideWhenUsed/>
    <w:qFormat/>
    <w:pPr>
      <w:autoSpaceDE w:val="0"/>
      <w:autoSpaceDN w:val="0"/>
      <w:jc w:val="both"/>
    </w:pPr>
    <w:rPr>
      <w:rFonts w:eastAsia="Times New Roman"/>
      <w:sz w:val="20"/>
      <w:szCs w:val="20"/>
    </w:rPr>
  </w:style>
  <w:style w:type="character" w:styleId="Hyperlink">
    <w:name w:val="Hyperlink"/>
    <w:rPr>
      <w:u w:val="single"/>
    </w:rPr>
  </w:style>
  <w:style w:type="table" w:styleId="TableGrid">
    <w:name w:val="Table Grid"/>
    <w:basedOn w:val="TableNormal"/>
    <w:uiPriority w:val="5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Footer">
    <w:name w:val="Header &amp; Footer"/>
    <w:pPr>
      <w:tabs>
        <w:tab w:val="right" w:pos="9020"/>
      </w:tabs>
    </w:pPr>
    <w:rPr>
      <w:rFonts w:ascii="Helvetica Neue" w:eastAsia="Arial Unicode MS" w:hAnsi="Helvetica Neue" w:cs="Arial Unicode MS"/>
      <w:color w:val="000000"/>
      <w:sz w:val="24"/>
      <w:szCs w:val="24"/>
      <w:lang w:val="en-US"/>
    </w:rPr>
  </w:style>
  <w:style w:type="paragraph" w:customStyle="1" w:styleId="BodyA">
    <w:name w:val="Body A"/>
    <w:qFormat/>
    <w:pPr>
      <w:jc w:val="both"/>
    </w:pPr>
    <w:rPr>
      <w:rFonts w:eastAsia="Arial Unicode MS" w:cs="Arial Unicode MS"/>
      <w:color w:val="000000"/>
      <w:sz w:val="24"/>
      <w:szCs w:val="24"/>
      <w:u w:color="000000"/>
      <w:lang w:val="en-US"/>
    </w:rPr>
  </w:style>
  <w:style w:type="paragraph" w:customStyle="1" w:styleId="Default">
    <w:name w:val="Default"/>
    <w:pPr>
      <w:jc w:val="both"/>
    </w:pPr>
    <w:rPr>
      <w:rFonts w:ascii="Helvetica" w:eastAsia="Arial Unicode MS" w:hAnsi="Helvetica" w:cs="Arial Unicode MS"/>
      <w:color w:val="000000"/>
      <w:sz w:val="22"/>
      <w:szCs w:val="22"/>
      <w:u w:color="000000"/>
      <w:lang w:val="en-US"/>
    </w:rPr>
  </w:style>
  <w:style w:type="paragraph" w:styleId="NoSpacing">
    <w:name w:val="No Spacing"/>
    <w:pPr>
      <w:jc w:val="both"/>
    </w:pPr>
    <w:rPr>
      <w:rFonts w:eastAsia="Arial Unicode MS" w:cs="Arial Unicode MS"/>
      <w:color w:val="000000"/>
      <w:sz w:val="24"/>
      <w:szCs w:val="24"/>
      <w:u w:color="000000"/>
      <w:lang w:val="en-US"/>
    </w:rPr>
  </w:style>
  <w:style w:type="character" w:customStyle="1" w:styleId="None">
    <w:name w:val="None"/>
  </w:style>
  <w:style w:type="character" w:customStyle="1" w:styleId="Hyperlink0">
    <w:name w:val="Hyperlink.0"/>
    <w:basedOn w:val="None"/>
    <w:qFormat/>
    <w:rPr>
      <w:color w:val="0000FF"/>
      <w:u w:val="single" w:color="0000FF"/>
    </w:rPr>
  </w:style>
  <w:style w:type="character" w:customStyle="1" w:styleId="BalloonTextChar">
    <w:name w:val="Balloon Text Char"/>
    <w:basedOn w:val="DefaultParagraphFont"/>
    <w:link w:val="BalloonText"/>
    <w:uiPriority w:val="99"/>
    <w:semiHidden/>
    <w:rPr>
      <w:sz w:val="18"/>
      <w:szCs w:val="18"/>
    </w:rPr>
  </w:style>
  <w:style w:type="character" w:customStyle="1" w:styleId="CommentTextChar">
    <w:name w:val="Comment Text Char"/>
    <w:basedOn w:val="DefaultParagraphFont"/>
    <w:link w:val="CommentText"/>
    <w:uiPriority w:val="99"/>
    <w:rPr>
      <w:rFonts w:eastAsia="Times New Roman"/>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Heading1Char">
    <w:name w:val="Heading 1 Char"/>
    <w:basedOn w:val="DefaultParagraphFont"/>
    <w:link w:val="Heading1"/>
    <w:uiPriority w:val="9"/>
    <w:rsid w:val="00EB6803"/>
    <w:rPr>
      <w:rFonts w:asciiTheme="majorHAnsi" w:eastAsiaTheme="majorEastAsia" w:hAnsiTheme="majorHAnsi" w:cstheme="majorBidi"/>
      <w:color w:val="365F91" w:themeColor="accent1" w:themeShade="BF"/>
      <w:sz w:val="32"/>
      <w:szCs w:val="32"/>
      <w:lang w:val="en-US"/>
    </w:rPr>
  </w:style>
  <w:style w:type="character" w:customStyle="1" w:styleId="Heading2Char">
    <w:name w:val="Heading 2 Char"/>
    <w:basedOn w:val="DefaultParagraphFont"/>
    <w:link w:val="Heading2"/>
    <w:uiPriority w:val="9"/>
    <w:rsid w:val="00EB6803"/>
    <w:rPr>
      <w:rFonts w:asciiTheme="majorHAnsi" w:eastAsiaTheme="majorEastAsia" w:hAnsiTheme="majorHAnsi" w:cstheme="majorBidi"/>
      <w:color w:val="365F91" w:themeColor="accent1" w:themeShade="BF"/>
      <w:sz w:val="26"/>
      <w:szCs w:val="26"/>
      <w:lang w:val="en-US"/>
    </w:rPr>
  </w:style>
  <w:style w:type="paragraph" w:customStyle="1" w:styleId="Abstract">
    <w:name w:val="Abstract"/>
    <w:basedOn w:val="BodyTextIndent"/>
    <w:rsid w:val="00815778"/>
    <w:pPr>
      <w:autoSpaceDE w:val="0"/>
      <w:autoSpaceDN w:val="0"/>
      <w:spacing w:after="0"/>
      <w:ind w:left="425" w:right="425"/>
      <w:jc w:val="both"/>
    </w:pPr>
    <w:rPr>
      <w:rFonts w:eastAsia="Times New Roman"/>
      <w:i/>
      <w:iCs/>
      <w:sz w:val="18"/>
      <w:szCs w:val="18"/>
    </w:rPr>
  </w:style>
  <w:style w:type="paragraph" w:styleId="BodyTextIndent">
    <w:name w:val="Body Text Indent"/>
    <w:basedOn w:val="Normal"/>
    <w:link w:val="BodyTextIndentChar"/>
    <w:uiPriority w:val="99"/>
    <w:semiHidden/>
    <w:unhideWhenUsed/>
    <w:rsid w:val="00815778"/>
    <w:pPr>
      <w:spacing w:after="120"/>
      <w:ind w:left="283"/>
    </w:pPr>
  </w:style>
  <w:style w:type="character" w:customStyle="1" w:styleId="BodyTextIndentChar">
    <w:name w:val="Body Text Indent Char"/>
    <w:basedOn w:val="DefaultParagraphFont"/>
    <w:link w:val="BodyTextIndent"/>
    <w:uiPriority w:val="99"/>
    <w:semiHidden/>
    <w:rsid w:val="00815778"/>
    <w:rPr>
      <w:rFonts w:eastAsia="Arial Unicode MS"/>
      <w:sz w:val="24"/>
      <w:szCs w:val="24"/>
      <w:lang w:val="en-US"/>
    </w:rPr>
  </w:style>
  <w:style w:type="character" w:customStyle="1" w:styleId="Heading3Char">
    <w:name w:val="Heading 3 Char"/>
    <w:basedOn w:val="DefaultParagraphFont"/>
    <w:link w:val="Heading3"/>
    <w:uiPriority w:val="9"/>
    <w:semiHidden/>
    <w:rsid w:val="00EA4BBE"/>
    <w:rPr>
      <w:rFonts w:asciiTheme="majorHAnsi" w:eastAsiaTheme="majorEastAsia" w:hAnsiTheme="majorHAnsi" w:cstheme="majorBidi"/>
      <w:color w:val="243F60" w:themeColor="accent1" w:themeShade="7F"/>
      <w:sz w:val="24"/>
      <w:szCs w:val="24"/>
      <w:lang w:val="en-US"/>
    </w:rPr>
  </w:style>
  <w:style w:type="paragraph" w:styleId="NormalWeb">
    <w:name w:val="Normal (Web)"/>
    <w:basedOn w:val="Normal"/>
    <w:uiPriority w:val="99"/>
    <w:unhideWhenUsed/>
    <w:rsid w:val="00EA4BBE"/>
    <w:pPr>
      <w:autoSpaceDE w:val="0"/>
      <w:autoSpaceDN w:val="0"/>
      <w:jc w:val="both"/>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744222">
      <w:bodyDiv w:val="1"/>
      <w:marLeft w:val="0"/>
      <w:marRight w:val="0"/>
      <w:marTop w:val="0"/>
      <w:marBottom w:val="0"/>
      <w:divBdr>
        <w:top w:val="none" w:sz="0" w:space="0" w:color="auto"/>
        <w:left w:val="none" w:sz="0" w:space="0" w:color="auto"/>
        <w:bottom w:val="none" w:sz="0" w:space="0" w:color="auto"/>
        <w:right w:val="none" w:sz="0" w:space="0" w:color="auto"/>
      </w:divBdr>
    </w:div>
    <w:div w:id="1209415801">
      <w:bodyDiv w:val="1"/>
      <w:marLeft w:val="0"/>
      <w:marRight w:val="0"/>
      <w:marTop w:val="0"/>
      <w:marBottom w:val="0"/>
      <w:divBdr>
        <w:top w:val="none" w:sz="0" w:space="0" w:color="auto"/>
        <w:left w:val="none" w:sz="0" w:space="0" w:color="auto"/>
        <w:bottom w:val="none" w:sz="0" w:space="0" w:color="auto"/>
        <w:right w:val="none" w:sz="0" w:space="0" w:color="auto"/>
      </w:divBdr>
    </w:div>
    <w:div w:id="14937636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tiff"/><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wmf"/><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tiff"/></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spPr>
      <a:bodyPr rot="0" spcFirstLastPara="1" vertOverflow="overflow" horzOverflow="overflow" vert="horz" wrap="square" lIns="0" tIns="0" rIns="0" bIns="0" numCol="1" spcCol="38100" rtlCol="0" anchor="t">
        <a:spAutoFit/>
      </a:body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spPr>
      <a:bodyPr rot="0" spcFirstLastPara="1" vertOverflow="overflow" horzOverflow="overflow" vert="horz" wrap="square" lIns="91439" tIns="45719" rIns="91439" bIns="45719" numCol="1" spcCol="38100" rtlCol="0" anchor="t">
        <a:noAutofit/>
      </a:bodyPr>
      <a:lstStyle/>
      <a:style>
        <a:lnRef idx="0">
          <a:scrgbClr r="0" g="0" b="0"/>
        </a:lnRef>
        <a:fillRef idx="0">
          <a:scrgbClr r="0" g="0" b="0"/>
        </a:fillRef>
        <a:effectRef idx="0">
          <a:scrgbClr r="0" g="0" b="0"/>
        </a:effectRef>
        <a:fontRef idx="none"/>
      </a:style>
    </a:lnDef>
    <a:txDef>
      <a:spPr>
        <a:noFill/>
        <a:ln w="12700" cap="flat">
          <a:noFill/>
          <a:miter lim="400000"/>
        </a:ln>
      </a:spPr>
      <a:bodyPr rot="0" spcFirstLastPara="1" vertOverflow="overflow" horzOverflow="overflow" vert="horz" wrap="square" lIns="0" tIns="0" rIns="0" bIns="0" numCol="1" spcCol="38100" rtlCol="0" anchor="t">
        <a:spAutoFit/>
      </a:body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11A522B7-B928-9348-A957-5C3860FD8B1E}">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7</Pages>
  <Words>5347</Words>
  <Characters>30483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kupusinac</dc:creator>
  <cp:lastModifiedBy>Miroslava Jordović Pavlović</cp:lastModifiedBy>
  <cp:revision>18</cp:revision>
  <dcterms:created xsi:type="dcterms:W3CDTF">2021-09-22T21:07:00Z</dcterms:created>
  <dcterms:modified xsi:type="dcterms:W3CDTF">2021-09-29T21:20:00Z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bc207a95-a19e-352c-9f73-a9abb07b8225</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(deprecated)</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y fmtid="{D5CDD505-2E9C-101B-9397-08002B2CF9AE}" pid="25" name="KSOProductBuildVer">
    <vt:lpwstr>1033-10.2.0.7646</vt:lpwstr>
  </property>
</Properties>
</file>